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ATAS/54/2023 vom 30. Januar 2023</w:t>
      </w:r>
    </w:p>
    <w:p>
      <w:r>
        <w:t>GE Cour de justice, 2023-01-30, FR</w:t>
      </w:r>
    </w:p>
    <w:p>
      <w:r>
        <w:rPr>
          <w:b/>
        </w:rPr>
        <w:t xml:space="preserve">Quelle: </w:t>
      </w:r>
      <w:r>
        <w:t>https://mcp.opencaselaw.ch/entscheid/ge_gerichte_ATAS_54_2023</w:t>
      </w:r>
    </w:p>
    <w:p>
      <w:r>
        <w:t>FR: GE_GERICHTE ATAS/54/2023 du 30 janvier 2023</w:t>
      </w:r>
    </w:p>
    <w:p>
      <w:r>
        <w:t>IT: GE_GERICHTE ATAS/54/2023 del 30 gennaio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A/2013/2022 - 6/11 -</w:t>
      </w:r>
    </w:p>
    <w:p>
      <w:r>
        <w:rPr>
          <w:b/>
        </w:rPr>
        <w:t>E. 1.2</w:t>
      </w:r>
    </w:p>
    <w:p>
      <w:r>
        <w:t>Interjeté dans la forme et le délai prévus par la loi, le recours est recevable (art. 60 LPGA).</w:t>
      </w:r>
    </w:p>
    <w:p>
      <w:r>
        <w:rPr>
          <w:b/>
        </w:rPr>
        <w:t>E. 2</w:t>
      </w:r>
    </w:p>
    <w:p>
      <w:r>
        <w:t>Le litige porte sur le droit de la recourante à une rente d’invalidité, singulièrement sur l’évaluation de sa capacité de travail.</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l'espèce, la décision a été rendue postérieurement au 1er janvier 2022. Cela étant, la recourant invoque une incapacité de travail depuis 2017 et un droit à une éventuelle rente d’invalidité antérieurement au 1er janvier 2022, de sorte que les dispositions de la LAI et de son règlement s'appliquent dans leur version en vigueur jusqu'au 31 décembre 2021.</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w:t>
      </w:r>
    </w:p>
    <w:p>
      <w:r>
        <w:t>A/2013/2022 - 7/11 -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A/2013/2022 - 8/11 -</w:t>
      </w:r>
    </w:p>
    <w:p>
      <w:r>
        <w:rPr>
          <w:b/>
        </w:rPr>
        <w:t>E. 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A/2013/2022 - 9/11 -</w:t>
      </w:r>
    </w:p>
    <w:p>
      <w:r>
        <w:rPr>
          <w:b/>
        </w:rPr>
        <w:t>E. 7</w:t>
      </w:r>
    </w:p>
    <w:p>
      <w:r>
        <w:t>décembre 2021. Il a fait état d'une dégradation de l'état de santé de la recourante, celle-ci ne parvenant plus à faire ses tâches ménagères, entrainant une incapacité de travail de 50% même dans une activité adaptée. Il a ensuite confirmé cette aggravation de l’état de santé dans son rapport du 6 octobre 2022 adressé à la chambre de céans. Dans son rapport du 16 mars 2022, sur lequel s'est fondée la décision de l'intimé du 23 mai 2022, le SMR s'est rallié à l'avis du 7 décembre 2021 du Dr F______. Or, dans la mesure où celui-ci a été modifié, le SMR se devait d’en tenir compte. Sollicité par l'intimé pour se déterminer sur la nouvelle attestation du Dr F______ du 5 mai 2022, le SMR s'est toutefois limité à reprendre le 27 octobre 2022 les anciennes conclusions du Dr F______, sans examiner la plausibilité de l'aggravation de l'état de santé de la recourante, laquelle, selon les explications du Dr F______, est antérieure au 23 mai 2022, date de la décision litigieuse. Par ailleurs, les conclusions du Dr F______ du 5 mai 2022 et du 6 octobre 2022 rejoignent l'avis du Dr E______, qui concluait à une capacité de travail de la recourante limitée à un taux de de 50% dans une activité adaptée. Dans ces circonstances, une instruction médicale relative à l’aggravation de l’état de santé alléguée est nécessaire. Vu l’absence d’instruction médicale de la part de l’intimé, il se justifie de lui renvoyer la cause, pour instruction médicale complémentaire et nouvelle décision. Au vu du renvoi de la cause à l’intimé, il ne se justifie pas d’examiner les autres griefs de la recourante.</w:t>
      </w:r>
    </w:p>
    <w:p>
      <w:r>
        <w:rPr>
          <w:b/>
        </w:rPr>
        <w:t>E. 8</w:t>
      </w:r>
    </w:p>
    <w:p>
      <w:r>
        <w:t>Le recours sera en conséquence partiellement admis, la décision querellée annulée, la cause renvoyée à l’intimé pour instruction complémentaire et nouvelle décision au sens des considérants. 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w:t>
      </w:r>
    </w:p>
    <w:p>
      <w:r>
        <w:t>A/2013/2022 - 10/11 - Un émolument de CHF 200.- sera mis à la charge de l'intimé (art. 69 al. 1bis LAI).</w:t>
      </w:r>
    </w:p>
    <w:p>
      <w:r>
        <w:t>A/2013/2022 - 11/11 -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