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ATAS/549/2024 vom 1. Juli 2024</w:t>
      </w:r>
    </w:p>
    <w:p>
      <w:r>
        <w:t>GE Cour de justice, 2024-07-01, FR</w:t>
      </w:r>
    </w:p>
    <w:p>
      <w:r>
        <w:rPr>
          <w:b/>
        </w:rPr>
        <w:t xml:space="preserve">Quelle: </w:t>
      </w:r>
      <w:r>
        <w:t>https://mcp.opencaselaw.ch/entscheid/ge_gerichte_ATAS_549_2024</w:t>
      </w:r>
    </w:p>
    <w:p>
      <w:r>
        <w:t>FR: GE_GERICHTE ATAS/549/2024 du 1 juillet 2024</w:t>
      </w:r>
    </w:p>
    <w:p>
      <w:r>
        <w:t>IT: GE_GERICHTE ATAS/549/2024 del 1 luglio 2024</w:t>
      </w:r>
    </w:p>
    <w:p>
      <w:pPr>
        <w:pStyle w:val="Heading2"/>
      </w:pPr>
      <w:r>
        <w:t>Erwägungen</w:t>
      </w:r>
    </w:p>
    <w:p>
      <w:r>
        <w:rPr>
          <w:b/>
        </w:rPr>
        <w:t>E. 23</w:t>
      </w:r>
    </w:p>
    <w:p>
      <w:r>
        <w:t>septembre 2021, et que l’état de santé antérieur à l’accident était considéré comme rétabli depuis le 4 novembre 2021 au plus tard. 3.</w:t>
      </w:r>
    </w:p>
    <w:p>
      <w:r>
        <w:t>3.1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A/4203/2022 - 12/22 -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w:t>
      </w:r>
    </w:p>
    <w:p>
      <w:r>
        <w:t>A/4203/2022 - 13/22 - Dans un arrêt du 7 mai 2020 (8C_481/2019), le Tribunal fédéral a jugé que fixer le délai du retour au statu quo sine en se référant à l'évolution prévisible de l'atteinte à la santé d'une manière abstraite et théorique, ne suffisait pas pour établir - au degré de la vraisemblance prépondérante - l'extinction du lien de causalité avec l'accident en cause, référence faite à son arrêt 8C_473/2017 du 21 février 2018 consid. 5). 3.2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w:t>
      </w:r>
    </w:p>
    <w:p>
      <w:r>
        <w:t>A/4203/2022 - 14/22 -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 3.3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w:t>
      </w:r>
    </w:p>
    <w:p>
      <w:r>
        <w:t>A/4203/2022 - 15/22 - l'un ou sur l'autre de ces avis et il y a lieu de mettre en œuvre une expertise par un médecin indépendant selon la procédure de l'art. 44 LPGA ou une expertise judiciaire (ATF 139 V 225 consid. 5.2 et les références; ATF 135 V 465 consid.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 En principe, les premières déclarations ou les déclarations de la première heure, doivent se voir reconnaître une force probante plus élevée que les suivantes (cf. ATF 121 V 45 consid. 2a). Toutefois, cela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 du Tribunal fédéral 9C_139/2010 du 29 octobre 2010 consid. 3.2).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w:t>
      </w:r>
    </w:p>
    <w:p>
      <w:r>
        <w:t>A/4203/2022 - 16/22 -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w:t>
      </w:r>
    </w:p>
    <w:p>
      <w:r>
        <w:rPr>
          <w:b/>
        </w:rPr>
        <w:t>E. 26</w:t>
      </w:r>
    </w:p>
    <w:p>
      <w:r>
        <w:t>janvier 2012 consid. 3). 4.</w:t>
      </w:r>
    </w:p>
    <w:p>
      <w:r>
        <w:t>4.1 En l’espèce, il ressort des premiers rapports médicaux des 1er, 4 et 22 février 2021 au dossier et de la déclaration de sinistre du 23 septembre 2021 que le recourant est tombé de sa hauteur sur l’épaule et le dos du côté droit. Ce n’est que le 30 mars 2023, sur questions du mandataire du recourant, que le Dr C______ a indiqué que celui-ci s’était appuyé sur la main droite pour éviter de tomber. Cette version tardive des faits ne correspond pas à ce que ce médecin avait indiqué le 1er février 2022, soit une chute de sa hauteur avec réception sur le côté droit et est postérieure au rapport établi le 17 mars 2023, dans lequel le Dr E______ indiquait si le recourant s’était appuyé sur son bras droit afin d’amortir la chute, ce mécanisme pouvait être clairement à l’origine d’une rupture des tendons. La seconde version des faits ressortant du rapport de Dr C______ du 30 mars 2023 n’est ainsi pas probante, car elle a pu être influencée par le contenu du rapport du Dr E______. Les dernières déclarations du recourant à la chambre de céans décrivent une chute qui ne correspond pas non plus à la première version des faits. Le recourant a commencé par dire qu’il était tombé sur son bras droit, puis qu’il était tombé sur l'avant-bras. Il a ensuite précisé qu’il s’était d'abord retenu sur la main droite et puis que son corps s'était retrouvé sur son bras droit, puis que tout son corps était tombé. Il a encore répété qu’il était d'abord tombé sur la main, puis qu’il s’était tourné et que le coude avait touché parterre, puis l'épaule. Ses dernières déclarations n’emportent pas conviction, car elles ont également pu être influencées par le rapport du Dr E______ du 17 mars 2023. La première description des faits apparaît davantage probante, car c’est la première version des faits et elle a été répétée à plusieurs reprises. La méconnaissance du français par le recourant n’apparaît pas avoir posé des problèmes de communication sur le déroulement de l’accident, puisqu’il a décrit celui-ci en portugais au directeur de son entreprise. Ensuite, il l’a décrit au Dr C______, avec l’aide de son cousin qui parle bien français.</w:t>
      </w:r>
    </w:p>
    <w:p>
      <w:r>
        <w:t>A/4203/2022 - 17/22 - En conclusion, il n’apparaît pas établi au degré de la vraisemblance prépondérante que le recourant se soit retenu avec la main ou le bras droit avant de heurter son épaule. 4.2 Cela étant, cela n’exclut pas que l’état de santé du recourant soit encore imputable à l’accident après le 4 novembre 2021, ne serait-ce que partiellement, ce qui suffit pour retenir un lien de causalité naturelle en application de l’art. 36 al. 1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Il ne s’agit pas dans ce contexte de savoir si l’atteinte est due de manière prépondérante à l'usure ou à la maladie, c'est-à-dire à plus de 50% de l’ensemble des facteurs en cause, selon la jurisprudence, qui ne concerne que les lésions assimilables à un accident au sens de l’art. 6 al. 2 LAA et qui n’est pas applicable au cas d’espèce. Les considérations du Dr E______ du 17 mars 2023 ne sont donc pas pertinentes pour déterminer si un lien de causalité naturelle persistait après le 4 novembre 2021. Il ne s’est pas prononcé sur la question pertinente du retour à un statu quo ante ou sine. Quant à la Dre H______, elle a fondé ses conclusions sur des considérations générales relatives à la durée d’une contusion bégnine de l’omoplate/de l’épaule, sans examen du recourant et dans un rapport qui ne répond pas aux réquisits permettant de lui reconnaître une pleine valeur probante. 5.</w:t>
      </w:r>
    </w:p>
    <w:p>
      <w:r>
        <w:t>5.1 Il se justifie en conséquence de faire procéder à une expertise, qui sera confiée au professeur J______ spécialiste FMH en chirurgie orthopédique et traumatologie de l’appareil locomoteur. 5.2 L’intimée a demandé la récusation du Prof. J______, au motif qu’on devait présumer qu’il entendrait soutenir l’opinion défendue par le groupe d’experts Swiss Orthopaedics, faisant référence à son expérience qui aurait montré que le Prof. J______ était tenant de la thèse contreversée tenue par Swiss Orthopaedics selon laquelle une lésion de la coiffe des rotateurs pouvait également survenir en cas de choc direct sur l’épaule sans que le bras soit en extention, opinion qui l’était pas scientifiquement prouvée, selon le Tribunal fédéral.</w:t>
      </w:r>
    </w:p>
    <w:p>
      <w:r>
        <w:t>A/4203/2022 - 18/22 - 5.3 En matière de récusation, il convient de distinguer entre les motifs formels et les motifs matériels. Les motifs de récusation qui sont énoncés dans la loi (cf. art. 36 al. 1 LPGA ; 15 et 15A LPA) sont de nature formelle parce qu’ils sont propres à éveiller la méfiance à l’égard de l’impartialité de l’expert. Les motifs de nature matérielle, qui peuvent également être dirigés contre la personne de l’expert (par exemple ses compétences professionnelles), ne mettent en revanche pas en cause son impartialité. De tels motifs doivent en principe être examinés avec la décision sur le fond, dans le cadre de l'appréciation des preuves (cf. ATF 148 V 225 consid. 3.3 et les références ; 132 V 93 consid. 6.5 et les références ; arrêt du Tribunal fédéral 9C_297/2020 du 3 décembre 2020 consid. 1.1.2 et les références). Un expert passe pour prévenu lorsqu'il existe des circonstances propres à faire naître un doute sur son impartialité. Dans ce domaine, il s'agit toutefois d'un état intérieur dont la preuve est difficile à apporter, de sorte qu’il n'est pas nécessaire de prouver que la prévention est effective pour récuser un expert ;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Compte tenu de l'importance considérable que revêtent les expertises médicales en droit des assurances sociales, il y a lieu de poser des exigences élevées quant à l'impartialité de l’expert médical (ATF 148 V 225 consid. 3.4 et les références). Constitue un motif de récusation, tout fait dénotant une apparence de prévention de la part de l’expert. Tel est le cas s’il a déjà été impliqué, à quelque titre que ce soit – en tant que conseiller, expert privé, témoin, membre d’une autorité –, dans la procédure et s’il a pris position au sujet de certaines questions, de manière telle qu’il ne semble plus exempt de préjugé. En effet, il y a lieu de craindre que l’expert ne projette, dans la procédure en cours, les opinions qu’il a déjà acquises, voire émises, à propos de l’affaire, qu’il résolve les questions à trancher selon ses opinions et surtout, qu’il ne discerne pas les questions que se poserait un expert non prévenu. La jurisprudence a cependant précisé que le fait que l’expert soit un tenant déclaré d’une école de pensée ou d’un courant scientifique particulier ne suffit pas à fonder un soupçon de prévention, sauf s’il apparaît dès le départ que l’expert va soutenir une opinion plutôt qu’une autre (CR LPGA-Piguet, art. 44 N 37). Dans un arrêt 8C_740/2020 du 7 avril 2021, le Tribunal fédéral s’est référé à une publication : Schweizerisches Medizin-Forum 2019 [1516], p. 260 ss. (cf. arrêt 8C_446/2019 du 22 octobre 2019 consid. 5.2.2 avec référence à l'arrêt 9C_334/2010 du 23 novembre 2010 consid. 2.1, non publié in : ATF 136 V 395, mais in : SVR 2011 KV n° 5 p. 20 ; voir aussi l'arrêt 8C_59/2020 du 14 avril 2020 consid. 5.4), dans laquelle les auteurs, dont des membres du groupe d'experts en chirurgie de l'épaule et du coude de Swiss Orthopaedics, défendaient l'idée qu'une</w:t>
      </w:r>
    </w:p>
    <w:p>
      <w:r>
        <w:t>A/4203/2022 - 19/22 - lésion de la coiffe des rotateurs pouvait également survenir en cas de traumatisme direct de l'épaule sans que le bras soit explicitement tendu. Il relevait que cette opinion n'était pas scientifiquement étayée et n'avait donc pas de valeur probante, d'autant plus que la question est controversée dans la littérature médicale. Une demande de récusation ne peut être dirigée que contre des personnes physiques (ATF 137 V 210 consid. 1.3.3 et les références ; cf. arrêt du Tribunal fédéral 8C_449/2023 du 9 avril 2024 consid. 4.2 et la référence). Il existe une présomption d’impartialité de l’expert, de sorte que la partie qui demande sa récusation doit apporter la preuve permettant de renverser cette présomption (cf. arrêt du Tribunal fédéral I 752/03 du 27 août 2004 consid. 4.2 et la référence). 5.4 En l’espèce, l’intimée ne fait valoir aucun motif laissant soupçonner d’emblée que le Prof. J______ soutiendra dans le cas d’espèce une opinion plutôt qu’une autre. Le fait qu’il défende l’idée qu’une lésion de la coiffe des rotateurs peut également survenir en cas de choc direct sur l’épaule sans que le bras soit en extension ne suffit pas à fonder un soupçon de prévention.</w:t>
      </w:r>
    </w:p>
    <w:p>
      <w:r>
        <w:t>A/4203/2022 - 20/22 - PAR CES MOTIFS, LA CHAMBRE DES ASSURANCES SOCIALES : Préparatoirement : I. Ordonne une expertise médicale orthopédique. La confie au professeur J______ spécialiste FMH en chirurgie orthopédique et traumatologie de l’appareil locomoteur.</w:t>
      </w:r>
    </w:p>
    <w:p>
      <w:r>
        <w:t>Dit que la mission d’expertise sera la suivante : A. Prendre connaissance du dossier de la cause B. Si nécessaire prendre tous renseignements auprès des médecins ayant traité la personne expertisée C. Examiner la personne expertisée et, si nécessaire, ordonner d'autres examens D. Etablir un rapport comprenant les éléments et les réponses aux questions suivants : 1. Anamnèse détaillée 2. Plaintes de la personne expertisée 3. Status et constatations objectives 4. Diagnostics 4.1 Avec répercussion sur la capacité de travail 4.1.1 Dates d'apparition 4.2 Sans répercussion sur la capacité de travail 4.2.2 Dates d'apparition 4.3 L’état de santé de la personne expertisée est-il stabilisé ? 4.3.1 Si oui, depuis quelle date ? 4.4. Les atteintes et les plaintes de la personne expertisée correspondent- elles à un substrat organique objectivable ? 5. Causalité 5.1 Les atteintes constatées sont-elles dans un rapport de causalité avec l’accident ? Plus précisément ce lien de causalité est-il seulement possible (probabilité de moins de 50 %), probable (probabilité de plus de 50 %) ou certain (probabilité de 100 %) ? 5.1.1 Veuillez motiver votre réponse pour chaque diagnostic posé 5.1.2 À partir de quel moment le statu quo ante a-t-il été atteint (moment où l’état de santé de la personne expertisée est similaire à celui qui existait immédiatement avant l’accident) ?</w:t>
      </w:r>
    </w:p>
    <w:p>
      <w:r>
        <w:t>A/4203/2022 - 21/22 - 5.1.3 Veuillez indiquer la date du statu quo ante pour chaque diagnostic posé 5.2 L’accident a-t-il décompensé un état maladif préexistant ? 5.2.1 Si oui, à partir de quel moment le statu quo sine a-t-il été atteint (moment où l’état de santé de la personne expertisée est similaire à celui qui serait survenu tôt ou tard, même sans l’accident par suite d’un développement ordinaire) ? 6. Limitations fonctionnelles 6.1. Indiquer les limitations fonctionnelles en relation avec chaque diagnostic 6.1.1 Dates d'apparition 7. Capacité de travail 7.1 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avec l’accident ? 7.2.1 Si cette capacité de travail est seulement partielle, quelles sont les limitations fonctionnelles qui entrent en ligne de compte ? Depuis quelle date sont-elles présentes ? 8. Traitement 8.1 Examen du traitement suivi par la personne expertisée et analyse de son adéquation 8.2 Propositions thérapeutiques et analyse de leurs effets sur la capacité de travail de la personne expertisée 8.3 Peut-on attendre de la poursuite du traitement médical une notable amélioration de l’état de santé de la personne expertisée ? 8.4 Si non, à partir de quel moment ne peut-on plus attendre de la continuation du traitement médical une notable amélioration de l’état de santé de la personne expertisée (état final atteint) ? 9. Atteinte à l’intégrité</w:t>
      </w:r>
    </w:p>
    <w:p>
      <w:r>
        <w:t>A/4203/2022 - 22/22 - 9.1 La personne expertisée présente-t-elle une atteinte à l’intégrité définitive, en lien avec les atteintes en rapport de causalité au moins probable (probabilité de plus de 50%) avec l’accident ? 9.2 Si oui, quel est le taux applicable selon les tables de la SUVA ? 9.3 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 10. Appréciation d'avis médicaux du dossier 10.1 Êtes-vous d'accord avec les rapports de la Dre H______ (des 25 avril et 2 novembre 2022 et du 10 octobre 2023 ? pour quels motifs ? 10.2 Êtes-vous d'accord avec le rapport du Dr E______ (des 4 février 2022 et 17 mars 2023) ? pour quels motifs ? 10.3 Êtes-vous d'accord avec le rapport du Dr C______ (des 1er février 2022 et 30 mars 2023 ?) pour quels motifs ? 11. Faire toutes autres observations ou suggestions utiles. E. Invite l’expert à déposer son rapport en trois exemplaires dans les trois mois suivant la réception de la mission d’expertise auprès de la chambre de céans. F. Réserve le fond ainsi que le sort des frais jusqu’à droit jugé au fond. F.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w:t>
      </w:r>
    </w:p>
    <w:p>
      <w:r>
        <w:t>La greffière</w:t>
      </w:r>
    </w:p>
    <w:p>
      <w:r>
        <w:t>Julia BARRY</w:t>
      </w:r>
    </w:p>
    <w:p>
      <w:r>
        <w:t>La présidente</w:t>
      </w:r>
    </w:p>
    <w:p>
      <w:r>
        <w:t>Catherine TAPPONNIER Une copie de la présente ordonnance est adressée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