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ATAS/549/2016 vom 30. Juni 2016</w:t>
      </w:r>
    </w:p>
    <w:p>
      <w:r>
        <w:t>GE Cour de justice, 2016-06-30, FR</w:t>
      </w:r>
    </w:p>
    <w:p>
      <w:r>
        <w:rPr>
          <w:b/>
        </w:rPr>
        <w:t xml:space="preserve">Quelle: </w:t>
      </w:r>
      <w:r>
        <w:t>https://mcp.opencaselaw.ch/entscheid/ge_gerichte_ATAS_549_2016</w:t>
      </w:r>
    </w:p>
    <w:p>
      <w:r>
        <w:t>FR: GE_GERICHTE ATAS/549/2016 du 30 juin 2016</w:t>
      </w:r>
    </w:p>
    <w:p>
      <w:r>
        <w:t>IT: GE_GERICHTE ATAS/549/2016 del 30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de la recourante à une rente d’invalidité, plus particulièrement sur son degré d’invalidité dans la sphère ménagère.</w:t>
      </w:r>
    </w:p>
    <w:p>
      <w:r>
        <w:rPr>
          <w:b/>
        </w:rPr>
        <w:t>E. 5</w:t>
      </w:r>
    </w:p>
    <w:p>
      <w:r>
        <w:t>Aux termes de l’art. 8 al. 1er LPGA, est réputée invalidité l’incapacité de gain totale ou partielle qui est présumée permanente ou de longue durée. Selon l'art. 6 LPGA,</w:t>
      </w:r>
    </w:p>
    <w:p>
      <w:r>
        <w:t>A/4255/2015 - 9/14 -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w:t>
      </w:r>
    </w:p>
    <w:p>
      <w:r>
        <w:rPr>
          <w:b/>
        </w:rPr>
        <w:t>E. 8</w:t>
      </w:r>
    </w:p>
    <w:p>
      <w:r>
        <w:t>La fixation de l'invalidité dans les travaux habituels ne saurait reposer sur une évaluation médico-théorique. En effet, le facteur déterminant pour évaluer l'invalidité des assurés n'exerçant pas d'activité lucrative consiste dans</w:t>
      </w:r>
    </w:p>
    <w:p>
      <w:r>
        <w:t>A/4255/2015 - 10/14 -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 du Tribunal fédéral des assurances I 309/04 du 14 janvier 2005 consid. 6.2.1 et les références).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Selon la pratique administrative ressortant des chiffres 3086ss de la Circulaire sur l’invalidité et l’impotence dans l’assurance-invalidité, dans sa version dès le 1er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entretien du logement (épousseter, passer l’aspirateur, entretenir les sols, nettoyer les vitres, faire les lits) : entre 5 % et 20 %, achats et courses diverses (poste, assurances, services officiels) : entre 5 % et 10 %, lessive et entretien des vêtements (laver, étendre et plier le linge, repasser, raccommoder, nettoyer les chaussures) : entre 5 % et 20 %, soins aux enfants ou aux autres membres de la famille: entre 0 %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w:t>
      </w:r>
    </w:p>
    <w:p>
      <w:r>
        <w:t>A/4255/2015 - 11/14 -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w:t>
      </w:r>
    </w:p>
    <w:p>
      <w:r>
        <w:rPr>
          <w:b/>
        </w:rPr>
        <w:t>E. 9</w:t>
      </w:r>
    </w:p>
    <w:p>
      <w:r>
        <w:t>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10</w:t>
      </w:r>
    </w:p>
    <w:p>
      <w:r>
        <w:t>En l'espèce, l’enquête réalisée par l’intimé satisfait aux exigences dégagées par la jurisprudence pour se voir reconnaître valeur probante. En effet, elle a été établie au domicile de la recourante en présence de cette dernière ainsi que de deux membres de sa famille et elle détaille précisément les différentes tâches ménagères et la manière dont le foyer les a assumées avant et après l’atteinte de la recourante. La recourante ne fait du reste pas valoir que cette enquête ne serait pas conforme à ses déclarations. S'agissant du fait que son époux aurait pris ses repas de midi au domicile avant l’atteinte, elle n’allègue pas que cette information aurait été communiquée à l’enquêtrice. Même si tel avait été le cas, il ne s’agit pas d’un élément suffisant à nier la valeur probante de l’enquête. Quant à la discrépance s’agissant de la pondération du poste « Alimentation » entre le tableau récapitulatif et l’enquête, il s’agit d’une coquille qui ne justifie pas que l’on s’écarte de l’enquête. Il y a lieu de s’en tenir à la pondération de 35 % ressortant du tableau pour ce poste, dès lors que le total des activités doit toujours se monter à 100 % (arrêt du Tribunal fédéral 9C_183/2008 du 18 mars 2009 consid. 6.1). En ce qui concerne les empêchements retenus, la recourante reproche à l’intimé de ne pas avoir tenu compte du fait qu’elle ne pouvait s’occuper de son ménage qu’un jour sur sept. Elle ne saurait être suivie sur ce point. En premier lieu, cette incapacité n’est pas démontrée au degré de la vraisemblance prépondérante. En effet, le Dr E______ signalait dans son rapport du 7 décembre 2015 que la fatigue</w:t>
      </w:r>
    </w:p>
    <w:p>
      <w:r>
        <w:t>A/4255/2015 - 12/14 - survenait avant tout le jour des dialyses mais s’améliorait le lendemain. Il a certes relevé que tel n’était pas le cas chez la recourante. Il n’a cependant pas motivé cette affirmation, qui semble reposer uniquement sur les plaintes subjectives de la recourante, et qui est de surcroît en contradiction avec ses allégations puisqu’elle invoque un mal-être la veille et non le lendemain des dialyses. Quant à la fatigue liée à la récente intervention, elle n’apparaît pas durable. Le Dr E______ semble en effet relativiser cet élément, puisqu’il relève qu’une fois le bras droit cicatrisé, la recourante devrait être en mesure d’accomplir des tâches ménagères simples. Ainsi, le certificat de ce médecin ne suffit pas à nier la valeur probante de l’enquête. La recourante affirme encore que le Dr K______ aurait indiqué qu’elle ne pouvait exercer ses activités à moins de bénéficier d’une greffe de rein. Ce faisant, elle procède à une lecture erronée du rapport du 27 février 2015 de ce médecin. En effet, s’il a exposé qu’une greffe de rein aurait des répercussions sur la reprise du travail, il n’a pas pour autant exclu l’aptitude de la recourante à s’occuper – à tout le moins partiellement – de ses travaux habituels. Quant à la dégradation alléguée de l’état de santé, elle appelle les commentaires suivants : contrairement à ce que la recourante affirme, une tuberculose n’a pas été diagnostiquée, seule la possibilité d’une tuberculose latente ayant été évoquée. En outre, le fait que le traitement instauré pour ce motif entrave pour l’heure une greffe de rein assombrit certes le pronostic. Il ne constitue toutefois pas une aggravation de l’état de santé à proprement parler, puisqu’il ne modifie pas les empêchements induits par l’insuffisance rénale, qu’une transplantation permettrait certes de pallier mais qui sont pour l’heure pris en compte par l’enquête ménagère. S’agissant du trouble psychique rapporté par le Dr L______, on notera qu’il n’a jamais été diagnostiqué par les médecins traitants de la recourante avant que l’intimé ne rende la décision litigieuse, et ce bien que la Dresse D______ ait déjà constaté certains symptômes d’ordre psychique dans son rapport du 18 janvier 2015. Or, le juge examine la légalité des décisions attaquées, en règle générale, d'après l'état de fait existant au moment où la décision administrative litigieuse a été rendue (ATF 132 V 215 consid. 3.1.1). Ainsi, même à supposer que l’épisode dépressif sévère rapporté par le Dr L______ ait des répercussions sur la capacité de la recourante à s’occuper des travaux habituels, la chambre de céans n’a pas à en tenir compte, dès lors qu’il a été rapporté après la décision dont est recours. En outre, on constatera que les empêchements sont très largement admis par l’enquêtrice. En effet, hormis pour la conduite du ménage – que la recourante est encore en mesure d’assurer, comme cela ressort des explications de ses proches à l’enquêtrice – et pour les courses, domaine où elle bénéficiait déjà avant son atteinte de l’aide de son époux, qui s’occupe en outre depuis toujours des tâches administratives également prises en compte dans cette rubrique, l’enquête retient des empêchements oscillant entre 70 % et 100 % dans les différents postes. De tels taux sont parfaitement compatibles avec l’appréciation du Dr E______, qui faisait état d’une réduction considérable de la capacité de la recourante à réaliser des</w:t>
      </w:r>
    </w:p>
    <w:p>
      <w:r>
        <w:t>A/4255/2015 - 13/14 - tâches ménagères. Dans ce contexte, la chambre de céans relèvera encore que le Tribunal fédéral a souligné dans des arrêts concernant des assurés n’exerçant plus d’activité lucrative qu’ils disposaient ainsi de plus de temps pour aménager leurs tâches ménagères avec les pauses nécessaires (arrêts du Tribunal fédéral des assurances I §583/02 du 2 mai 2003 consid. 4.1 et I 511/00 du 22 février 2001 consid. 3d). Tel est également le cas ici. Si l’atteinte à la santé entraîne certes une grande fatigue, la recourante est en mesure, les jours sans dialyse, de répartir certaines tâches sur toute la journée, en les interrompant si nécessaire par des pauses. Partant, on ne saurait considérer qu’elle est totalement incapable d’exercer les travaux habituels du ménage. La recourante s’en prend encore à l’exigibilité retenue pour son époux. On rappellera que celle-ci se monte dans l’ensemble à 27 %. A titre de comparaison, le Tribunal fédéral a confirmé une exigibilité de 30 % à charge du mari et des enfants d’une assurée (arrêt du Tribunal fédéral 9C_784/2013 du 5 mars 2014). La mesure de l’aide prise en considération pour l’époux de la recourante est certes élevée. Elle n’est cependant pas insoutenable au vu de la jurisprudence citée. La question de savoir si une exigibilité de 30 % est dans le cas d’espèce trop élevée au vu de l’activité professionnelle de l’époux de la recourante peut toutefois rester ouverte pour le motif suivant. On rappellera que l’intimé n’a pas pris en compte l’aide de la belle-fille et du fils de la recourante, au vu du caractère prétendument transitoire de leur cohabitation. Or, comme le révèle la consultation du registre de l’OCP, C______ loge depuis quelque six ans chez ses parents, où il a été rejoint par son épouse et leur fils. On peut dès lors douter qu’il s’agit d’un arrangement provisoire. Même à supposer que tel fût le cas, il n’y a pas lieu de faire abstraction de cet élément de fait au motif qu’il n’est pas immuable. En effet, une enquête ménagère doit établir les empêchements en fonction des circonstances concrètes du cas d’espèce au moment où elle est réalisée. Elle n’a pas à adapter ses résultats en anticipant un éventuel changement dans la composition du ménage, qui doit cas échéant faire l’objet d’une révision du droit aux prestations. Partant, on doit tenir compte de l’aide que sont susceptibles d’amener la bru et le fils de la recourante dans les tâches ménagères. Au vu de cet élément, il ne fait guère de doute qu’une exigibilité de 27 % de la part de trois adultes qui font ménage commun avec la recourante n’est pas excessive.</w:t>
      </w:r>
    </w:p>
    <w:p>
      <w:r>
        <w:rPr>
          <w:b/>
        </w:rPr>
        <w:t>E. 11</w:t>
      </w:r>
    </w:p>
    <w:p>
      <w:r>
        <w:t>La recourante a sollicité plusieurs mesures d’instruction.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w:t>
      </w:r>
    </w:p>
    <w:p>
      <w:r>
        <w:t>A/4255/2015 - 14/14 - En l’espèce, au vu de ce qui précède et notamment du caractère probant et conforme à l’appréciation du Dr E______ de l’enquête ménagère, la chambre de céans renoncera par appréciation anticipée des preuves aux auditions requises.</w:t>
      </w:r>
    </w:p>
    <w:p>
      <w:r>
        <w:rPr>
          <w:b/>
        </w:rPr>
        <w:t>E. 12</w:t>
      </w:r>
    </w:p>
    <w:p>
      <w:r>
        <w:t>Au vu de ce qui précède, le recours doit être rejeté.</w:t>
      </w:r>
    </w:p>
    <w:p>
      <w:r>
        <w:rPr>
          <w:b/>
        </w:rPr>
        <w:t>E. 13</w:t>
      </w:r>
    </w:p>
    <w:p>
      <w:r>
        <w:t>La recourante, qui succombe, n’a pas droit à des dépens (art. 61 let. g LPGA).</w:t>
      </w:r>
    </w:p>
    <w:p>
      <w:r>
        <w:rPr>
          <w:b/>
        </w:rPr>
        <w:t>E. 14</w:t>
      </w:r>
    </w:p>
    <w:p>
      <w:r>
        <w:t>La procédure en matière d’assurance-invalidité n'est pas gratuite (art. 69 al. 1bis LAI). La recourante ayant retiré sa demande d’assistance juridique, il y a lieu de la condamner au paiement d'un émolument de CHF 200.-.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