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ATAS/548/2025 vom 14. Juli 2025</w:t>
      </w:r>
    </w:p>
    <w:p>
      <w:r>
        <w:t>GE Cour de justice, 2025-07-14, FR</w:t>
      </w:r>
    </w:p>
    <w:p>
      <w:r>
        <w:rPr>
          <w:b/>
        </w:rPr>
        <w:t xml:space="preserve">Quelle: </w:t>
      </w:r>
      <w:r>
        <w:t>https://mcp.opencaselaw.ch/entscheid/ge_gerichte_ATAS_548_2025</w:t>
      </w:r>
    </w:p>
    <w:p>
      <w:r>
        <w:t>FR: GE_GERICHTE ATAS/548/2025 du 14 juillet 2025</w:t>
      </w:r>
    </w:p>
    <w:p>
      <w:r>
        <w:t>IT: GE_GERICHTE ATAS/548/2025 del 14 luglio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délai de recours est de 30 jours (art. 60 al. 1 LPGA ; art. 62 al. 1 LPA ; art. 9 de la loi sur les prestations fédérales complémentaires à l’assurance-vieillesse et survivants et à l’assurance-invalidité du 14 octobre 1965 [LPFC ‑ J 4 20] ; art. 43 LPCC). Déposé le 11 septembre 2024 au greffe de la chambre de céans, le recours a été interjeté en temps utile. Celui-ci respecte également les exigences de forme prévues par l’art. 61 let. b LPGA (cf. aussi l’art. 89B LPA), de sorte qu’il est recevable.</w:t>
      </w:r>
    </w:p>
    <w:p>
      <w:r>
        <w:rPr>
          <w:b/>
        </w:rPr>
        <w:t>E. 2.1</w:t>
      </w:r>
    </w:p>
    <w:p>
      <w:r>
        <w:t>Des modifications législatives et réglementaires sont entrées en vigueur au 1er janvier 2021 dans le cadre de la Réforme des PC (LPC, modification du 22 mars 2019, RO 2020 585, FF 2016 7249 – OPC-AVS/AI [ordonnance sur les</w:t>
      </w:r>
    </w:p>
    <w:p>
      <w:r>
        <w:t>A/2930/2024 - 8/24 -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2.2</w:t>
      </w:r>
    </w:p>
    <w:p>
      <w:r>
        <w:t>En l’occurrence, les calculs comparatifs effectuées le 5 décembre 2020 en prévision de l’entrée en vigueur du nouveau droit montrent que le calcul du montant des PC selon l’ancien droit est plus favorable que celui effectué en application des dispositions entrées en vigueur le 1er janvier 2021, de sorte que les dispositions applicables seront citées dans leur ancienne teneur pour les faits qui se sont produits jusqu’au 31 décembre 2020. Pour les faits postérieurs à cette date, les dispositions seront citées dans leur nouvelle teneur.</w:t>
      </w:r>
    </w:p>
    <w:p>
      <w:r>
        <w:rPr>
          <w:b/>
        </w:rPr>
        <w:t>E. 3</w:t>
      </w:r>
    </w:p>
    <w:p>
      <w:r>
        <w:t>Le litige concerne le droit de l’intimé de réclamer au recourant la restitution d’une partie des PC octroyées du 1er juin 2017 au 31 mai 2024 (CHF 69'056.-) ainsi que les subsides d’assurance-maladie pour la période du 1er janvier au 31 mai 2024 (CHF 2'759.-), soit CHF 71'815.- au total.</w:t>
      </w:r>
    </w:p>
    <w:p>
      <w:r>
        <w:rPr>
          <w:b/>
        </w:rPr>
        <w:t>E. 4</w:t>
      </w:r>
    </w:p>
    <w:p>
      <w:r>
        <w:t>Sur le plan fédéral, les personnes qui ont leur domicile et leur résidence habituelle en Suisse et qui remplissent les conditions personnelles prévues aux art. 4, 6 et</w:t>
      </w:r>
    </w:p>
    <w:p>
      <w:r>
        <w:rPr>
          <w:b/>
        </w:rPr>
        <w:t>E. 4.1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4.2</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w:t>
      </w:r>
    </w:p>
    <w:p>
      <w:r>
        <w:t>A/2930/2024 - 9/24 - Selon l’art. 11 al. 1 LPC, les revenus déterminants comprennent notamment: le produit de la fortune mobilière et immobilière (let. b) et un quinzième de la fortune nette, un dixième pour les bénéficiaires de rentes de vieillesse, dans la mesure où elle dépasse CHF 30'000.- (CHF 37'500.- jusqu’au 31 décembre 2020) pour les personnes seules (let. c).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127 V 248 consid. 4a ; arrêt du Tribunal fédéral 9C_831/2016 du 11 juillet 2017 consid. 5.1 ; 9C_333/2016 du 3 novembre 2016 consid. 4.3.1). Selon l’art. 17a al. 1 OPC-AVS/AI,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17a al. 4 OPC-AVS/AI). L’art. 17a al. 4 OPC-AVS/AI constitue une dérogation au principe selon lequel la fortune prise en compte doit être évaluée selon les règles de la législation sur l’impôt cantonal direct du canton du domicile (Erwin CARIGIET, Uwe KOCH, Ergänzungsleistungen zur AHV/IV, 3e éd., 2021, p. 239-240).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 ch. 3445.04 des Directives concernant les prestations complémentaires à l’AVS et à l’AI [DPC]).</w:t>
      </w:r>
    </w:p>
    <w:p>
      <w:r>
        <w:rPr>
          <w:b/>
        </w:rPr>
        <w:t>E. 4.3</w:t>
      </w:r>
    </w:p>
    <w:p>
      <w:r>
        <w:t>Selon l’art. 11 al. 1 let. b LPC, les revenus déterminants comprennent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w:t>
      </w:r>
    </w:p>
    <w:p>
      <w:r>
        <w:t>A/2930/2024 - 10/24 -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(ATAS/306/2020 du 27 avril 2020 consid. 6 et les nombreux arrêts cités). En outre, la chambre de céans a également considéré qu’un taux de 5% était admissible (ATAS/1127/2017 du 11 décembre 2017). 5. S’agissant des dépenses, elles comprennent notamment les frais d’entretien des bâtiments et les intérêts hypothécaires, jusqu’à concurrence du rendement brut de l’immeuble (art. 10 al. 3 let. b LPC). 5.1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5.2 Pour le canton de Genève, l’art. 20 al. 2 du règlement d’application de la loi sur l’imposition des personnes physiques du 13 janvier 2010 (RIPP - D 3 08.1) – dispose que cette déduction forfaitaire, calculée sur la valeur locative selon l’art. 24 al. 2 de la loi sur l’imposition des personnes physiques du 27 septembre 2009 (LIPP - D 3 08), s’élève à 10% si l’âge du bâtiment au début de la période fiscale est inférieur ou égal à dix ans, et à 20%, si l’âge du bâtiment au début de la période fiscale est supérieur à dix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 6. S’agissant du taux de conversion applicable pour le calcul de la fortune immobilière et de la valeur locative y relative, il y a lieu d’appliquer les DPC. Le taux de conversion, selon le chiffre 3453.01 DPC, correspond au cours du jour</w:t>
      </w:r>
    </w:p>
    <w:p>
      <w:r>
        <w:t>A/2930/2024 - 11/24 - fixé par la Banque centrale européenne (ci-après : BCE).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(notamment ATAS/1146/2019 du 9 décembre 2019). 7.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d’un cinquième pour les bénéficiaires de rente de vieillesse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8</w:t>
      </w:r>
    </w:p>
    <w:p>
      <w:r>
        <w:t>Il convient tout d’abord d’examiner si l’intimé a respecté les délais de péremption légaux.</w:t>
      </w:r>
    </w:p>
    <w:p>
      <w:r>
        <w:rPr>
          <w:b/>
        </w:rPr>
        <w:t>E. 8.1</w:t>
      </w:r>
    </w:p>
    <w:p>
      <w:r>
        <w:t>S’agissant des prestations complémentaires fédérales, selon l’art. 25 al. 1, 1ère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(anfängliche tatsächliche Unrichtigkeit ;</w:t>
      </w:r>
    </w:p>
    <w:p>
      <w:r>
        <w:t>A/2930/2024 - 12/24 - cf. Ueli KIESER, Gabriela RIEMER-KAFKA, Tafeln zum schweizerischen Sozialversicherungsrecht, 5e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w:t>
      </w:r>
    </w:p>
    <w:p>
      <w:r>
        <w:rPr>
          <w:b/>
        </w:rPr>
        <w:t>E. 8.2</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ou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w:t>
      </w:r>
    </w:p>
    <w:p>
      <w:r>
        <w:t>A/2930/2024 - 13/24 - faits dans la procédure précédente (arrêt du Tribunal fédéral 8C_793/2023 du 5 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 4 mars 2022 consid. 5.4.3 non publié in ATF 148 V 327 ; 8C_665/2020 du 8 juin 2021 consid. 5.2).</w:t>
      </w:r>
    </w:p>
    <w:p>
      <w:r>
        <w:rPr>
          <w:b/>
        </w:rPr>
        <w:t>E. 8.3</w:t>
      </w:r>
    </w:p>
    <w:p>
      <w:r>
        <w:t>Au plan cantonal, l’art. 24 al. 1, 1ère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w:t>
      </w:r>
    </w:p>
    <w:p>
      <w:r>
        <w:t>A/2930/2024 - 14/24 -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8.4</w:t>
      </w:r>
    </w:p>
    <w:p>
      <w:r>
        <w:t>Conformément à l’art. 33 de la loi d’application de la loi fédérale sur l’assurance-maladie du 29 mai 1997 (LaLAMal – J 3 05), les subsides indûment touchés doivent être restitués en appliquant par analogie l’art.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 9.</w:t>
      </w:r>
    </w:p>
    <w:p>
      <w:r>
        <w:t>9.1 En vertu de l’art. 25 al. 2, 1ère phr.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1ère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(Office fédéral des assurances sociales, Lettre circulaire AI n° 406, du 22 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9.2 S’agissant de l’interruption de la péremption de la créance en restitution de prestations indues, la jurisprudence considère qu’une première décision de restitution de prestations rendue avant l’échéance du délai de péremption</w:t>
      </w:r>
    </w:p>
    <w:p>
      <w:r>
        <w:t>A/2930/2024 - 15/24 - sauvegarde valablement ce délai, quand bien même elle est par la suite annulée et remplacée sur le champ par une nouvelle décision de restitution portant sur un montant corrigé (arrêt du Tribunal fédéral 8C_366/2022 du 19 octobre 2022 consid. 5.3.2 et les références). 9.3 Le délai de péremption absolu de cinq ans commence à courir à la date du versement effectif de la prestation, et non à la date à laquelle elle aurait dû être fournie (ATF 112 V 180 consid. 4a et les références). 9.3.1 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arrêt du Tribunal fédéral 8C_754/2020 du 11 juin 2021 consid. 5.2). 9.3.2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d’elle (ATF 148 V 217 consid. 4.2 et les références ; 146 V 217 consid. 2.2 et les références) ; ce moment intervient en</w:t>
      </w:r>
    </w:p>
    <w:p>
      <w:r>
        <w:t>A/2930/2024 - 16/24 -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Pour autant,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 Lorsque la collaboration de plusieurs autorités chargées de la gestion de l’assurance est nécessaire pour la fixation des prestations ou pour leur restitution, le délai court lorsque l’une des autorités compétentes a connaissance des faits fondant l’obligation de restituer (ATF 140 V 521 consid. 2.1 et les références ; 139 V 6 consid. 4.1 et les références). 10.</w:t>
      </w:r>
    </w:p>
    <w:p>
      <w:r>
        <w:t>10.1 En vertu de l’art. 25 al. 2, 2ème phr.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(ATF 138 V 74 consid. 5.2). Pour que le délai de prescription plus long prévu par le droit pénal</w:t>
      </w:r>
    </w:p>
    <w:p>
      <w:r>
        <w:t>A/2930/2024 - 17/24 -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 10.2 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une peine pécuniaire (al. 1). Dans les cas de peu de gravité, la peine est l’amende (al. 2). Selon l’art. 97 al. 1 CP, l’action pénale se prescrit par trente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w:t>
      </w:r>
    </w:p>
    <w:p>
      <w:r>
        <w:t>A/2930/2024 - 18/24 - 11. Dans le cas d’espèce, l’intimé a appliqué le délai de sept ans, correspondant au délai de prescription pénale des infractions énoncées aux art. 31 LPC (manquement à l’obligation de communiquer) et 148a (obtention illicite de prestations d’une assurance sociale ou de l’aide sociale). 11.1 L’art. 148a CP, entré en vigueur le 1er octobre 2016, punit d’une peine privative de liberté d’un an au plus ou d’une peine pécuniaire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 11.2 L’art. 31 LPC – qui est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(art. 31 al. 1 LPGA) (let. d). L’infraction visée à l’art. 31 al. 1 LPC consiste en l’obtention du paiement de prestations complémentaires par des indications trompeuses. Cette infraction est</w:t>
      </w:r>
    </w:p>
    <w:p>
      <w:r>
        <w:t>A/2930/2024 - 19/24 -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2ème phr.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avec la faute réalisant l’élément constitutif subjectif d’une infraction pénale à l’origine du versement indu (ATAS/477/2019 du 28 mai 2019 consid. 11d).</w:t>
      </w:r>
    </w:p>
    <w:p>
      <w:r>
        <w:t>A/2930/2024 - 20/24 - 11.3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ou la modification de la situation personnelle, médicale ou économique ; il n’est en effet plus question alors d’une escroquerie par omission, mais d’une tromperie active (ATF 140 IV 11 consid. 2.4.1 et consid. 2.4.6 in fine ; voir également l’arrêt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w:t>
      </w:r>
    </w:p>
    <w:p>
      <w:r>
        <w:rPr>
          <w:b/>
        </w:rPr>
        <w:t>E. 12</w:t>
      </w:r>
    </w:p>
    <w:p>
      <w:r>
        <w:t>novembre 2014 consid. 5c; Ueli KIESER, ATSG-Kommentar, 4e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12.1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12.2</w:t>
      </w:r>
    </w:p>
    <w:p>
      <w:r>
        <w:t>Dans le domaine des assurances sociales notamment, la procédure est régie par le principe inquisitoire, selon lequel il appartient au juge d’établir d’office l’ensemble des faits déterminants pour la solution du litige et d’administrer, le cas</w:t>
      </w:r>
    </w:p>
    <w:p>
      <w:r>
        <w:t>A/2930/2024 - 21/24 -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13.1</w:t>
      </w:r>
    </w:p>
    <w:p>
      <w:r>
        <w:t>En l’espèce, l’intimé réclame la restitution de CHF 69'056.- au titre des PC du 1er juin 2017 au 31 mai 2024 ainsi que des réductions de primes d’assurance- maladie du 1er janvier au 31 mai 2024 (CHF 2'759.-).</w:t>
      </w:r>
    </w:p>
    <w:p>
      <w:r>
        <w:rPr>
          <w:b/>
        </w:rPr>
        <w:t>E. 13.2</w:t>
      </w:r>
    </w:p>
    <w:p>
      <w:r>
        <w:t>Concernant tout d’abord le délai applicable en matière de révision (ci- dessus : consid. 8.2), la chambre de céans constate que c’est en recevant, le</w:t>
      </w:r>
    </w:p>
    <w:p>
      <w:r>
        <w:rPr>
          <w:b/>
        </w:rPr>
        <w:t>E. 13.3</w:t>
      </w:r>
    </w:p>
    <w:p>
      <w:r>
        <w:t>Il convient encore d’examiner si l’intimé est en droit de réclamer au recourant les prestations indûment versées pour une période supérieure à celle de cinq ans prévue à l’art. 25 al. 2, 1ère phrase LPGA. Sur le plan objectif, les éléments constitutifs des infractions réprimées aux art. 148a CP et 31 al. 1 let. d LPC, toutes deux soumises au délai de prescription de sept ans, sont réalisés. En effet, en ne transmettant qu’en avril 2024 un rapport d’expertise immobilière daté du 7 mars 2024, le recourant a omis d’annoncer les variations de valeur enregistrées par son bien immobilier depuis 2013. Il a ainsi</w:t>
      </w:r>
    </w:p>
    <w:p>
      <w:r>
        <w:t>A/2930/2024 - 22/24 - passé sous silence, année après année, l’augmentation de la valeur de son appartement de Budapest, manquant ainsi à son obligation de communiquer et confortant de la sorte l’intimé dans son erreur. Ce faisant, il a adopté un comportement lui permettant d’obtenir des prestations indues. L’élément subjectif de ces infractions apparaît également réalisé. Compte tenu des indications écrites qui lui étaient fournies année après année au mois de décembre, concernant son obligation de communiquer tout changement des circonstances, le recourant, qui n’ignorait ni les variations du taux de change entre le forint hongrois et le franc suisse (cf. son courrier du 11 novembre 2015 au SPC) ni l’obsolescence – croissante au fil du temps – du certificat administratif du</w:t>
      </w:r>
    </w:p>
    <w:p>
      <w:r>
        <w:rPr>
          <w:b/>
        </w:rPr>
        <w:t>E. 13.4</w:t>
      </w:r>
    </w:p>
    <w:p>
      <w:r>
        <w:t>S’agissant de la somme sujette à restitution, la décision litigieuse met correctement en œuvre les principes régissant la prise en compte des revenus déterminants et des dépenses reconnues (ci-dessus : consid. 4 à 7). En particulier, les plans de calcul – réclamant la restitution de CHF 69'056.- au titre des PC pour la période du 1er juin 2017 au 31 mai 2024 – tiennent compte, d’une part, d’une valeur locative de 4.5%, ce qui est conforme à la jurisprudence précitée (consid 4.3) et, d’autre part, d’une fortune immobilière établie de manière équitable, soit en fonction d’une augmentation linéaire de son montant en devise locale entre les deux évaluations les plus récentes (du 20 novembre 2013 et du 7 mars 2024), ajustée au taux de conversion HUF-CHF fixé par la BCE. Enfin, ces plans de calcul tiennent compte, au titre des dépenses reconnues, des frais d’entretien des bâtiments à concurrence de 20% de la valeur locative. Le recourant fait néanmoins valoir en substance qu’une valeur locative de 4.5% serait excessive au regard de la vétusté du bien qui serait illustrée par les photos figurant au rapport d’expertise immobilière du 7 mars 2024. Cet argument ne saurait être suivi, sachant qu’une valeur locative de 4.5% n’est pas excessive en tant que telle (ci-dessus : consid. 4.3) et qu’en l’espèce, son montant est corrélé à la valeur vénale – non contestée – de HUF 51'800'000.- que l’expert a retenue en se fondant, entre autres, sur l’inspection du bien qu’il a documentée en images.</w:t>
      </w:r>
    </w:p>
    <w:p>
      <w:r>
        <w:t>A/2930/2024 - 23/24 - On rappellera par ailleurs que le fait que d’éventuels investissements soient nécessaires pour la mise en location d’un bien immobilier ne permet pas de déroger à l’art. 11 al. 1 let. b LPC (arrêt du Tribunal fédéral 9C_599/2014 du 14 janvier 2015 consid. 4.2.2). 14.</w:t>
      </w:r>
    </w:p>
    <w:p>
      <w:r>
        <w:t>14.1 Compte tenu de ce qui précède, le recours doit être rejeté. 14.2 Pour le surplus, la procédure est gratuite (art. 61 let. fbis LPGA a contrario).</w:t>
      </w:r>
    </w:p>
    <w:p>
      <w:r>
        <w:t>*****</w:t>
      </w:r>
    </w:p>
    <w:p>
      <w:r>
        <w:t>A/2930/2024 - 24/24 - PAR CES MOTIFS, LA CHAMBRE DES ASSURANCES SOCIALES : Statuant À la forme :</w:t>
      </w:r>
    </w:p>
    <w:p>
      <w:r>
        <w:rPr>
          <w:b/>
        </w:rPr>
        <w:t>E. 16</w:t>
      </w:r>
    </w:p>
    <w:p>
      <w:r>
        <w:t>avril 2024, le rapport d’expertise immobilière du 7 mars 2024 que l’intimé a pris connaissance du fait nouveau que constituait l’accroissement de la valeur du bien de l’intéressé depuis la précédente estimation, faite le 20 novembre 2013 par les autorités hongroises (HUF 51'800'000.- au lieu de HUF 19'950'000.-). En invoquant la reprise du « calcul de votre droit aux prestations complémentaires avec effet au 1er juin 2017, en tenant compte de l’augmentation de la valeur de votre bien immobilier en Hongrie » dans son courrier du 4 juin 2024 – auquel étaient jointes les décisions du 29 mai 2024 –, l’intimé s’est prévalu d’un motif de révision en respectant le délai relatif de 90 jours dès sa découverte. Il s’ensuit a fortiori que le délai de péremption relatif de trois ans de l’art. 25 al. 2 LPGA a également été respecté.</w:t>
      </w:r>
    </w:p>
    <w:p>
      <w:r>
        <w:rPr>
          <w:b/>
        </w:rPr>
        <w:t>E. 20</w:t>
      </w:r>
    </w:p>
    <w:p>
      <w:r>
        <w:t>novembre 2013, a néanmoins exprimé tacitement, année après année, jusqu’à l’envoi du rapport d’expertise du 7 mars 2024, que sa situation, respectivement les conditions pour le versement des prestations, ne s’étaient pas modifiées. Par le silence qualifié gardé au fil des ans à ce sujet, le recourant a accepté à tout le moins l’éventualité que l’intimé lui octroie des PC auxquelles il n’avait pas droit, de sorte qu’il a contrevenu aux art. 148a CP et 31 al. 1 let. d LPC par dol éventuel. Le délai de péremption de plus longue durée prévu par le droit pénal, soit en l’occurrence sept ans, est par conséquent applicable. C’est donc à bon droit que l’intimé a fait rétroagir ses décisions de restitution du 29 mai 2024 au 1er juin 2017, étant relevé que les prestations les plus anciennes visées (celles du mois de juin 2017) ont été perçues sept ans avant le courrier du 4 juin 2024 auquel étaient annexées les décisions de restitution précitées.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