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ATAS/548/2011 vom 26. Mai 2011</w:t>
      </w:r>
    </w:p>
    <w:p>
      <w:r>
        <w:t>GE Cour de justice, 2011-05-26, FR</w:t>
      </w:r>
    </w:p>
    <w:p>
      <w:r>
        <w:rPr>
          <w:b/>
        </w:rPr>
        <w:t xml:space="preserve">Quelle: </w:t>
      </w:r>
      <w:r>
        <w:t>https://mcp.opencaselaw.ch/entscheid/ge_gerichte_ATAS_548_2011</w:t>
      </w:r>
    </w:p>
    <w:p>
      <w:r>
        <w:t>FR: GE_GERICHTE ATAS/548/2011 du 26 mai 2011</w:t>
      </w:r>
    </w:p>
    <w:p>
      <w:r>
        <w:t>IT: GE_GERICHTE ATAS/548/2011 del 26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L'objet du litige consiste à déterminer si le recourant présente une atteinte à la santé ouvrant droit à des prestations de l'assurance-invalidité et plus particulièrement à une rente.</w:t>
      </w:r>
    </w:p>
    <w:p>
      <w:r>
        <w:rPr>
          <w:b/>
        </w:rPr>
        <w:t>E. 5</w:t>
      </w:r>
    </w:p>
    <w:p>
      <w:r>
        <w:t>En vertu de l'art. 28 al. 1 LAI, l'assuré a droit à une rente entière s'il est invalide à 70% au moins, à un trois quarts de rente s'il est invalide à 60% au moins, à une demi-rente s'il est invalide à 50% au moins, ou à un quart de rente s'il est invalide à 40% au moins.</w:t>
      </w:r>
    </w:p>
    <w:p>
      <w:r>
        <w:t>A/3553/2009 - 19/25 -</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A/3553/2009 - 20/25 -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Au sujet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t>A/3553/2009 - 21/25 -</w:t>
      </w:r>
    </w:p>
    <w:p>
      <w:r>
        <w:rPr>
          <w:b/>
        </w:rPr>
        <w:t>E. 8</w:t>
      </w:r>
    </w:p>
    <w:p>
      <w:r>
        <w:t>En l'espèce, l'OAI a considéré que le recourant a toujours disposé d'une pleine capacité de travail dans une activité adaptée à ses limitations fonctionnelles et que son invalidité n'atteignait qu'un degré de 17%, n'ouvrant pas le droit à des prestations de l'assurance-invalidité. Il s'est référé à l'expertise interdisciplinaire du COMAI de Genève du 10 mars 2008, au rapport du COPAI du 9 décembre 2008 et à l'expertise du Dr AG_______ du 3 août 2009, mis en œuvre à la suite de l'arrêt du Tribunal des assurances sociales (devenu la Chambre des assurances sociales de la Cour de justice) du 13 juin 2007, qui a renvoyé la cause à l'OAI pour instruction complémentaire, ainsi qu'aux avis du SMR. De son côté, le recourant conteste les conclusions de ces rapports et estime que sa capacité résiduelle de travail est nulle, en se référant essentiellement à l'avis du Dr AD_______ et des Dr AH_______ et AI_______. Il ressort du rapport du COMAI de Genève du 10 mars 2008 que, suite à des examens ostéo-articulaire, psychiatrique, otoneurologique, ophtalmologique, et cardiologiques, menés par divers spécialistes, les experts ont diagnostiqué, avec répercussion sur la capacité de travail, une arthrose post-traumatique à la cheville gauche, une hypoacousie et un trouble d'équilibre sur agénésie à l'oreille droite et une altération de la fonction cochléo-vestibulaire à gauche, une cardiopathie ischémique (status après triple pontage aorto-coronarien en 2004 et infarctus inférieur non daté), et, sans répercussion sur la capacité de travail, un diabète sucré type 2. Après avoir décrits les résultats des examens, les experts ont exposé que l'assuré présentait une dysplasie auto-mandibulaire congénitale qui ne l'avait pas empêché de travailler à plein temps comme facteur, qu'il avait pu effectuer des petits travaux dans la restauration et dans un foyer d'enfants, malgré une arthrose sous- astragalienne gauche ainsi qu'un diabète non insulinodépendant, qu'en raison de sa maladie coronarienne sévère avec atteinte de trois vaisseaux, qui avait justifié un triple pontage aorto-coronarien en février 2004 et s'était encore aggravée depuis ce pontage, l'assuré suivait un traitement médicamenteux important et suffisant, que l'assuré se plaignait principalement d'une oppression thoracique à l'effort ainsi que d'une douleur à la cheville gauche. Compte tenu de l'arthrose sous-astragalienne postérieure trigono-astragalienne et trigono-calcanéenne au niveau du pied gauche entraînant une limitation de la mobilité avec blocage en valgus et les douleurs affichées par l'assuré et survenant selon la sollicitation physique qui étaient tout à fait crédibles, les experts ont considéré que son activité professionnelle de cuisinier, caractérisée par une position debout prolongée et exigeant le port de charge, n'était pas adaptée à cette atteinte. Prenant en considération l'absence complète de fonctions cochlé-vestibulaires à l'oreille droite et une fonction altérée à gauche, les experts ont également retenu que le recourant présentait des limitations qualitatives qui ne l'avaient toutefois pas empêché d'assumer ses activités jusque là. Enfin, l'évaluation ophtalmologique aboutissait à la constatation d'une vue correcte si on</w:t>
      </w:r>
    </w:p>
    <w:p>
      <w:r>
        <w:t>A/3553/2009 - 22/25 - appliquait la correction et l'évaluation psychiatrique avait permis d'écarter toute atteinte psychique. Les experts ont ainsi retenu que le recourant présentait, du point de vue cardiaque, une limitation importante pour toute sollicitation physique modérée et lourde, dépassant largement la limitation issue de l'atteinte arthrosique à la cheville gauche et qu'au niveau physique, l'assuré n'était plus qu'apte à effectuer une activité sédentaire, alors qu'au plan psychique et mental, les experts n'ont retenu aucune limitation. Après avoir considéré que le recourant ne pouvait plus exercer ses anciennes activité de cuisinier et de facteur, les experts ont estimé qu'en revanche, sa capacité de travail était totale, dans une activité adaptée à ses limitations fonctionnelles, avec une diminution de rendement de 5% justifiée par des pauses supplémentaires nécessaires au traitement de son diabète. Force est d'admettre que les experts du COMAI de Genève ont ainsi procédé à une étude circonstanciée des points litigieux, se sont fondés sur des examens complets, ont pris en considération les plaintes exprimées par le recourant, ont établi leur rapport en pleine connaissance de l'anamnèse, ont décrit le contexte médical et ont apprécié la situation médicale de manière claire, et, finalement, ont pris des conclusions qui sont convaincantes et dûment motivées. En d'autres termes, le rapport du COMAI de Genève du 10 mars 2008 remplit tous les réquisits jurisprudentiels pour qu'une pleine valeur probante lui soit reconnue. Les conclusions du rapport précité sont par ailleurs corroborées par celles du rapport du COPAI du 9 décembre 2008, selon lesquelles le recourant pouvait travailler, à plein temps (8 heures par jour) et avec un rendement de 95%, dans les métiers d'aide-employé de bureau, ouvrier dans le conditionnement ou l'expédition de produits légers, ou impliquant des travaux sériels simples et grossiers. De même, le 24 novembre 2008, le Dr AC_______ a indiqué que l'état actuel de l'assuré était superposable à celui qui était décrit dans l'expertise du COMAI, que le pronostic cardiovasculaire restait réservé mais n'impliquait pas pour autant d'incapacité de travail dans une activité légère et sédentaire devant pouvoir être exercée à plein temps avec un rendement quasi normal, que l'affection de la cheville limitait les possibilités de travail physique mais était parfaitement compatible avec une activité sédentaire légère à plein temps, que le stage effectué au COPAI des EPI confirmait les conclusions de l'expertise du COMAI en ce qui concerne l'aptitude au travail, les réserves quant au pronostic de l'affection cardiaque ne modifiant pas cette capacité. S'agissant de l'expertise cardiologique du Dr AG_______ du 3 août 2009, elle fait état de limitations fonctionnelles moins importantes que celles retenues par le COMAI mais comporte la même conclusion quant à la capacité de travail du</w:t>
      </w:r>
    </w:p>
    <w:p>
      <w:r>
        <w:t>A/3553/2009 - 23/25 - recourant, dans la mesure où il est indiqué que, sur le plan cardiaque, les activités sédentaires et les activités ne nécessitant pas de longs déplacements, de ports de charges et d'efforts très soutenus, étaient possibles et pouvaient être exercés à plein temps avec une diminution de rendement de 5 à 10% en raison du diabète, de l'obésité et d'une inactivité professionnelle prolongée. Cette expertise revêt également une pleine valeur probante, sachant que le Dr AG_______ a procédé à une étude circonstanciée des problèmes cardiaques du recourant, s'est fondé sur des examens complets, a établi son rapport en pleine connaissance de l'anamnèse, a décrit le contexte médical et a expliqué les raisons pour lesquelles il estimait que les limitations fonctionnelles étaient moins importantes que celles retenues par le COMAI et, finalement, a pris des conclusions convaincantes et dûment motivées. Quant à l'avis des Dr AH_______ et AI_______, il n'amène pas la Chambre de céans à écarter les conclusions du Dr AG_______, puisque les médecins précités n'ont examiné l'état de santé cardiaque du recourant que plusieurs mois après l'expertise du Dr AG_______, que rien ne permet de retenir que cet état existait déjà à la date de l'expertise en question et, surtout, que les rapports médicaux des Dr AH_______ et AI_______ ne comportent aucune conclusion sur les limitations fonctionnelles et leur incidence sur la capacité de travail du recourant. Enfin, l'avis divergent du Dr AD_______ ne saurait être préféré aux avis médicaux du COMAI et du Dr AG_______, dans la mesure où il est émis dans des certificats médicaux ne comportant ni anamnèse, ni étude circonstanciée des points litigieux, ni une description claire du contexte médical, pas plus que conclusions dûment motivées. En d'autres termes, ces certificats ne remplissent de loin pas les réquisits jurisprudentiels pour qu'une pleine valeur probante leur soit reconnue. En définitive, la Chambre de céans fait sien les avis des médecins du COMAI de Genève et du Dr AG_______, appuyés encore par celui du Dr AC_______, selon lequel le recourant dispose d'une pleine capacité de travail dans une activité adaptée à ses limitions fonctionnelles, avec une diminution de rendement de 5%.</w:t>
      </w:r>
    </w:p>
    <w:p>
      <w:r>
        <w:rPr>
          <w:b/>
        </w:rPr>
        <w:t>E. 9</w:t>
      </w:r>
    </w:p>
    <w:p>
      <w:r>
        <w:t>Dans la mesure où tous les aspects de l'état de santé du recourant ont été abordés de manière circonstanciée dans les rapports d'expertise du COMAI de Genève et du Dr AG_______, et qu'à l'appui de sa critique des conclusions des expertises précitées, le recourant n'apporte aucun élément médical nouveau, il ne justifie nullement d'ordonner une nouvelle expertise.</w:t>
      </w:r>
    </w:p>
    <w:p>
      <w:r>
        <w:rPr>
          <w:b/>
        </w:rPr>
        <w:t>E. 10</w:t>
      </w:r>
    </w:p>
    <w:p>
      <w:r>
        <w:t>La détermination du taux d'invalidité par l'OAI étant exempte de critique et n'étant d'ailleurs pas contestée, la Chambre de céans retiendra que le degré d'invalidité du recourant s'élève à 17%, qui est donc insuffisant pour ouvrir le droit à des prestations de l'assurance-invalidité.</w:t>
      </w:r>
    </w:p>
    <w:p>
      <w:r>
        <w:t>A/3553/2009 - 24/25 -</w:t>
      </w:r>
    </w:p>
    <w:p>
      <w:r>
        <w:rPr>
          <w:b/>
        </w:rPr>
        <w:t>E. 11</w:t>
      </w:r>
    </w:p>
    <w:p>
      <w:r>
        <w:t>Il résulte de ce qui précède que le recours sera rejeté et la décision attaquée confirmée.</w:t>
      </w:r>
    </w:p>
    <w:p>
      <w:r>
        <w:t>A/3553/2009 - 25/25 -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