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ATAS/547/2019 vom 19. Juni 2019</w:t>
      </w:r>
    </w:p>
    <w:p>
      <w:r>
        <w:t>GE Cour de justice, 2019-06-19, FR</w:t>
      </w:r>
    </w:p>
    <w:p>
      <w:r>
        <w:rPr>
          <w:b/>
        </w:rPr>
        <w:t xml:space="preserve">Quelle: </w:t>
      </w:r>
      <w:r>
        <w:t>https://mcp.opencaselaw.ch/entscheid/ge_gerichte_ATAS_547_2019</w:t>
      </w:r>
    </w:p>
    <w:p>
      <w:r>
        <w:t>FR: GE_GERICHTE ATAS/547/2019 du 19 juin 2019</w:t>
      </w:r>
    </w:p>
    <w:p>
      <w:r>
        <w:t>IT: GE_GERICHTE ATAS/547/2019 del 19 giugno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Il se justifie de l'accepter, dès lors qu'elle correspond à la conclusion du recourant. En conséquence, la décision querellée sera annulée et la cause renvoyée à l’OAI pour instruction complémentaire et nouvelle décision.</w:t>
      </w:r>
    </w:p>
    <w:p>
      <w:r>
        <w:rPr>
          <w:b/>
        </w:rPr>
        <w:t>E. 4</w:t>
      </w:r>
    </w:p>
    <w:p>
      <w:r>
        <w:t>Le recourant, n’étant pas assisté d’un conseil et n’ayant pas fait valoir de frais engendrés par la procédure (art. 61 let. g LPGA), il ne lui sera pas alloué d’indemnité de procédure.</w:t>
      </w:r>
    </w:p>
    <w:p>
      <w:r>
        <w:rPr>
          <w:b/>
        </w:rPr>
        <w:t>E. 5</w:t>
      </w:r>
    </w:p>
    <w:p>
      <w:r>
        <w:t>Les frais de la procédure seront mis à la charge de l'intimé (art. 69 al. 1bis LAI).</w:t>
      </w:r>
    </w:p>
    <w:p>
      <w:r>
        <w:t>A/1240/2019 - 3/3 -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