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ATAS/546/2011 vom 30. Mai 2011</w:t>
      </w:r>
    </w:p>
    <w:p>
      <w:r>
        <w:t>GE Cour de justice, 2011-05-30, FR</w:t>
      </w:r>
    </w:p>
    <w:p>
      <w:r>
        <w:rPr>
          <w:b/>
        </w:rPr>
        <w:t xml:space="preserve">Quelle: </w:t>
      </w:r>
      <w:r>
        <w:t>https://mcp.opencaselaw.ch/entscheid/ge_gerichte_ATAS_546_2011</w:t>
      </w:r>
    </w:p>
    <w:p>
      <w:r>
        <w:t>FR: GE_GERICHTE ATAS/546/2011 du 30 mai 2011</w:t>
      </w:r>
    </w:p>
    <w:p>
      <w:r>
        <w:t>IT: GE_GERICHTE ATAS/546/2011 del 30 maggio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A/4365/2010 - 4/6 -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formes et délai prescrits, le recours est recevable (art. 56 et 60 LPGA).</w:t>
      </w:r>
    </w:p>
    <w:p>
      <w:r>
        <w:rPr>
          <w:b/>
        </w:rPr>
        <w:t>E. 2</w:t>
      </w:r>
    </w:p>
    <w:p>
      <w:r>
        <w:t>Est litigieuse en l'espèce la durée de la suspension du droit aux indemnités de chômage.</w:t>
      </w:r>
    </w:p>
    <w:p>
      <w:r>
        <w:rPr>
          <w:b/>
        </w:rPr>
        <w:t>E. 3</w:t>
      </w:r>
    </w:p>
    <w:p>
      <w:r>
        <w:t>Selon l’art. 30 al. 1 let. a LACI, le droit de l'assuré est suspendu lorsqu'il est établi qu'il est sans travail par sa propre faute. Est réputé sans travail par sa propre faute l'assuré qui, par son comportement, en particulier la violation de ses obligations contractuelles de travail, a donné à son employeur un motif de résiliation (art. 44 al. 1 let. a OACI).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(ATF np C_207/205 du 31 octobre 2005).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Il y a faute grave lorsque l'assuré a abandonné un emploi réputé convenable sans être assuré de trouver un nouvel emploi ou lorsqu'il refuse un emploi réputé convenable sans motif valable (art. 45 al. 3 OACI). Dans ce domaine, le juge ne s'écarte de l'appréciation de l'administration que s'il existe de solides raisons (ATF 123 V 152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4</w:t>
      </w:r>
    </w:p>
    <w:p>
      <w:r>
        <w:t>En l'espèce, il est manifeste que le comportement du recourant est à l'origine de la résiliation de ses rapports de service. Il y a donc lieu à suspension du droit aux indemnités de chômage, ce que le recourant ne conteste pas.</w:t>
      </w:r>
    </w:p>
    <w:p>
      <w:r>
        <w:t>A/4365/2010 - 5/6 - Il ressort de l'arrêt du Tribunal administratif que le recourant a fait l'objet d'une mise en garde en 2001 du fait qu'il ne s'était pas conformé aux directives de son employeur relatives à l'utilisation d'Internet sur son lieu de travail au respect desquelles il s'était expressément engagé en signant la convention s'y rapportant. En 2002, il avait été sanctionné d'un blâme en raison du non respect des horaires de travail. Il était établi qu'en 2008, il avait navigué à une fréquence élevée sur Internet, qui plus est sur des sites à caractère érotique et pornographique. Le poste de conseiller en placement qu'occupait le recourant impliquait des contacts réguliers avec le public; il devait ainsi être au-dessus de tout soupçon. La consultation de tels sites était incompatible avec la loyauté et la diligence que tout employeur pouvait attendre de ses collaborateurs Si le travail du recourant avait donné entière satisfaction depuis son engagement en 1995 et que le comportement reproché n'avait pas eu d'incidence sur son travail ni importuné ses collègues, il n'en demeurait pas moins que l'employé avait fait fi de la confiance que lui avait témoignée son employeur sur un point ayant déjà fait l'objet d'une mise en garde en 2001. Le lien de confiance était ainsi définitivement rompu, ce qui justifiait le prononcé de la sanction la plus sévère, à savoir la révocation. Au vu de ce qui précède, il y a lieu de retenir que la faute imputable au recourant est grave. Son écart de comportement n'était nullement anodin ni n'est resté isolé. Par ailleurs, son attention avait expressément été attirée par son employeur, tant par la convention soumise à sa signature que par la mise en garde de 2001, sur l'importance que celui-ci accordait au respect de ses directives en matière d'utilisation d'Internet. Le recourant a néanmoins choisi d'enfreindre ces directives, à réitérées reprises et à une fréquence élevée. En outre, aucune circonstance ne justifie d'une quelconque manière ce comportement. L'intimé a donc qualifié à bon droit la faute de grave et infligé une suspension du droit aux indemnités de chômage de 38 jours. La situation familiale ainsi que l'état de santé de l'intéressé ne sauraient être déterminants dès lors qu'ils apparaissent, au degré de la vraisemblance prépondérante, sans rapport de causalité avec le comportement de l'assuré qui a conduit à la survenance du cas de chômage (cf. ATF np C_207/2005 du 31 octobre 2005). En particulier, aucun élément ne permet de considérer comme vraisemblable que le recourant aurait, comme il le soutient, subi des pressions sur son lieu de travail, ni a fortiori de pressions en lien avec le motif de sa révocation. Quant à la quotité de la sanction, elle n'apparaît pas critiquable, dès lors qu'elle tient compte des toutes les circonstances, notamment des états de service du recourant et de l'importance de la faute commise. Elle se situe, de surcroît, dans la fourchette inférieure du cadre légal (31 à 60 jours). Le recours doit donc être rejeté. * * *</w:t>
      </w:r>
    </w:p>
    <w:p>
      <w:r>
        <w:t>A/4365/2010 - 6/6 -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