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ATAS/545/2020 vom 29. Juni 2020</w:t>
      </w:r>
    </w:p>
    <w:p>
      <w:r>
        <w:t>GE Cour de justice, 2020-06-29, FR</w:t>
      </w:r>
    </w:p>
    <w:p>
      <w:r>
        <w:rPr>
          <w:b/>
        </w:rPr>
        <w:t xml:space="preserve">Quelle: </w:t>
      </w:r>
      <w:r>
        <w:t>https://mcp.opencaselaw.ch/entscheid/ge_gerichte_ATAS_545_2020</w:t>
      </w:r>
    </w:p>
    <w:p>
      <w:r>
        <w:t>FR: GE_GERICHTE ATAS/545/2020 du 29 juin 2020</w:t>
      </w:r>
    </w:p>
    <w:p>
      <w:r>
        <w:t>IT: GE_GERICHTE ATAS/545/2020 del 29 giugno 2020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l'assurance-chômage obligatoire et l'indemnité en cas d'insolvabilité, du 25 juin 1982 (loi sur l’assurance-chômage, LACI - RS 837.0). Sa compétence pour juger du cas d’espèce est ainsi établie. 2) Interjeté en temps utile, le recours est recevable.</w:t>
      </w:r>
    </w:p>
    <w:p>
      <w:r>
        <w:t>A/1056/2020 - 3/4 - 3) Aux termes de l'art. 53 de la loi fédérale sur la partie générale du droit des assurances sociales, du 6 octobre 2000 (LPGA - RS 830.1), l'assurance peut reconsidérer sa décision ou sa décision sur opposition jusqu'à l'envoi de son préavis au Tribunal. 4) En l’espèce, l’intimé a reconsidéré sa décision le 25 juin 2020, soit postérieurement à l’envoi de son préavis le 29 mai 2020. Au vu de cette décision, il convient d’admettre le recours et d’annuler la décision litigieuse du 9 mars 2020. La recourante, qui est représentée et qui obtient gain de cause, a droit à des dépens qui seront fixés à CHF 500.-. Pour le surplus, la procédure est gratuite. ***</w:t>
      </w:r>
    </w:p>
    <w:p>
      <w:r>
        <w:t>A/1056/2020 - 4/4 -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