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ATAS/545/2013 vom 29. Mai 2013</w:t>
      </w:r>
    </w:p>
    <w:p>
      <w:r>
        <w:t>GE Cour de justice, 2013-05-29, FR</w:t>
      </w:r>
    </w:p>
    <w:p>
      <w:r>
        <w:rPr>
          <w:b/>
        </w:rPr>
        <w:t xml:space="preserve">Quelle: </w:t>
      </w:r>
      <w:r>
        <w:t>https://mcp.opencaselaw.ch/entscheid/ge_gerichte_ATAS_545_2013</w:t>
      </w:r>
    </w:p>
    <w:p>
      <w:r>
        <w:t>FR: GE_GERICHTE ATAS/545/2013 du 29 mai 2013</w:t>
      </w:r>
    </w:p>
    <w:p>
      <w:r>
        <w:t>IT: GE_GERICHTE ATAS/545/2013 del 29 maggio 2013</w:t>
      </w:r>
    </w:p>
    <w:p>
      <w:pPr>
        <w:pStyle w:val="Heading2"/>
      </w:pPr>
      <w:r>
        <w:t>Erwägungen</w:t>
      </w:r>
    </w:p>
    <w:p>
      <w:r>
        <w:rPr>
          <w:b/>
        </w:rPr>
        <w:t>E. 1</w:t>
      </w:r>
    </w:p>
    <w:p>
      <w:r>
        <w:t>Conformément à l'art. 134 al. 1 let. a ch. 5 de la loi sur l'organisation judiciaire du 26 septembre 2010 (LOJ; RSG E 2 05) en vigueur dès le 1er janvier 2011, la</w:t>
      </w:r>
    </w:p>
    <w:p>
      <w:r>
        <w:t>A/616/2012 - 11/20 -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droit du recourant à une rente d'invalidité de l'assurance- accidents. Il y a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l'espèce, si dans sa décision sujette à opposition, l'intimée a indiqué ne pas entrer en matière sur la demande de révision, elle a statué au fond sur opposition. Les parties ont en outre eu l'occasion de se déterminer à plusieurs reprises sur les conditions matérielles d'octroi d'une rente d'invalidité dans leurs écritures. Ainsi, l'objet du litige n'est pas limité au point de savoir si l'intimée doit entrer en matière sur ce que le recourant qualifie de demande de révision, de sorte que la Cour de céans peut valablement statuer sur son droit à la rente.</w:t>
      </w:r>
    </w:p>
    <w:p>
      <w:r>
        <w:rPr>
          <w:b/>
        </w:rPr>
        <w:t>E. 4</w:t>
      </w:r>
    </w:p>
    <w:p>
      <w:r>
        <w:t>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w:t>
      </w:r>
    </w:p>
    <w:p>
      <w:r>
        <w:t>A/616/2012 - 12/20 - obtenir s’il n’était pas invalide est comparé avec celui qu’il pourrait obtenir en exerçant l’activité qui peut raisonnablement être exigée de lui après les traitements et les mesures de réadaptation, sur un marché du travail équilibré (art. 16 LPGA). La notion d'invalidité définie à l'art. 8 LPGA est en principe identique en matière d'assurance-accidents, d'assurance militaire et d'assurance-invalidité. En raison de l'uniformité de cette notion,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autre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Peuvent en particulier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non objective (ATF 126 V 288 consid. 2d; ATFA non publié I 853/05 du 28 décembre 2006, consid. 4.1.1; ATFA non publié I 490/05 du 18 octobre 2006, consid. 5.2.1). Il convient encore d'ajouter que l'invalidité est une notion économique et non médicale; les critères médico-théoriques ne sont pas déterminants, mais les répercussions de l'atteinte à la santé sur la capacité de gain (ATF 114 V 310 consid. 3c). Ainsi le taux d'invalidité ne se confond pas nécessairement avec le taux d'incapacité fonctionnelle déterminé par le médecin, ce sont les conséquences économiques objectives de l'incapacité fonctionnelle qu'il importe d'évaluer (ATF 110 V 273 consid. 4a; ATFA non publié U 512/00 du 27 février 2002, consid. 4d).</w:t>
      </w:r>
    </w:p>
    <w:p>
      <w:r>
        <w:rPr>
          <w:b/>
        </w:rPr>
        <w:t>E. 5</w:t>
      </w:r>
    </w:p>
    <w:p>
      <w:r>
        <w:t>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 ; ATF non publié 8C_708/2007 du 21 août 2008, consid. 5.5).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w:t>
      </w:r>
    </w:p>
    <w:p>
      <w:r>
        <w:t>A/616/2012 - 13/20 -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Comme cela ressort de la lettre claire de la loi, la révision de la rente au sens de l'art. 17 al. 1 LPGA porte sur des prestations en cours. Cette disposition n'est dès lors pas applicable lorsque la rente a déjà été supprimée par révision. Dans ce dernier cas, l'assuré doit déposer une nouvelle demande. Cela étant, si la nouvelle demande et la révision de la rente ne sont pas identiques, il s'agit de deux institutions juridiques qui présentent des similitudes dans la mesure où toutes deux tendent à réexaminer le droit aux prestations en raison d'un changement de circonstances (ATF 133 V 108 consid. 5.2). Quand l'administration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non publié 9C_70/2010 du 9 août 2010, consid. 3).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(ATF non publié 8C_880/2008 du 14 mai 2009, consid. 2.3). Pour qu'une décision de révision entrée en force constitue elle aussi une (nouvelle) base de comparaison dans le cadre d'une révision ultérieure, il faut qu'elle repose sur un examen matériel du droit à la rente avec une constatation des faits pertinents, une appréciation des preuves et une comparaison des revenus conformes au droit. Ces principes s'appliquent également en cas de nouvelle demande (ATF non publié 9C_685/2011 du 6 mars 2012, consid. 5.1).</w:t>
      </w:r>
    </w:p>
    <w:p>
      <w:r>
        <w:t>A/616/2012 - 14/20 - La modification du degré d’invalidité peut concerner aussi bien l'état de santé que les conséquences économiques d'un état de santé demeuré en soi inchangé (ATF 130 V 343 consid. 3.5; ATF non publié 8C_1001/2008 du 31 juillet 2009, consid. 3.2).</w:t>
      </w:r>
    </w:p>
    <w:p>
      <w:r>
        <w:rPr>
          <w:b/>
        </w:rPr>
        <w:t>E. 7</w:t>
      </w:r>
    </w:p>
    <w:p>
      <w:r>
        <w:t>a) Les prestations d'assurances sociales sont en principe servies à la demande de l'ayant droit: celui qui ne s'annonce pas à l'assurance n'obtient pas de prestations, même si le droit à celles-ci découle directement de la loi. Aussi, l'art. 29 al. 1 LPGA prévoit-il que celui qui fait valoir un droit à des prestations doit s'annoncer à l'assureur compétent, dans la forme prescrite par l'assurance sociale concernée (ATF non publié 9C_532/2011 du 7 mai 2012, consid. 4.2). On doit considérer qu'il y a une annonce au sens de l'art. 29 al. 1 LPGA lorsque l'intéressé demande des prestations, c'est-à-dire qu'il manifeste sa volonté de faire valoir ses droits (Ueli KIESER, ATSG-Kommentar: Kommentar zum Bundesgesetz über den Allgemeinen Teil des Sozialversicherungsrechts vom 6. Oktober 2000, 2ème éd., Zurich 2009, n. 8 ad art. 29). b) En l'occurrence, le courrier du recourant du 18 septembre 2008 doit être considéré comme une telle demande. Le fait que le recourant ait qualifié cette requête de demande de révision de la rente plutôt que de nouvelle demande est sans incidence sur son droit aux prestations. La LAA ne contient aucune règle sur les exigences formelles de l'annonce, hormis celles liées aux conséquences d'une déclaration tardive (cf. art. 46 LAA). L'intimée ne peut donc pas se prévaloir, comme elle l'allègue dans sa réponse du 9 mai 2002, du fait que le recourant aurait dû déposer une nouvelle demande de rente pour refuser les prestations.</w:t>
      </w:r>
    </w:p>
    <w:p>
      <w:r>
        <w:rPr>
          <w:b/>
        </w:rPr>
        <w:t>E. 8</w:t>
      </w:r>
    </w:p>
    <w:p>
      <w:r>
        <w:t>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A/616/2012 - 15/20 -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convient de constater que les rapports établis à l’époque de l'octroi de la rente par le Dr E___________ correspondent aux réquisits jurisprudentiels développés par le Tribunal fédéral puisque leurs conclusions reposent sur une parfaite connaissance du dossier et un examen clinique détaillé, qu’ils contiennent une anamnèse précise, que les plaintes du recourant sont prises en considération et que les diagnostics sont clairs et les conclusions motivées. Leur teneur n’est au demeurant pas remise en question. Tel est également le cas de l’expertise réalisée par le Dr J___________ en 2007, dont les conclusions correspondent d’ailleurs largement à celles émises par le médecin d’arrondissement de l’intimée. Ce rapport comprend en effet tous les éléments essentiels selon la jurisprudence, de sorte qu'il revêt une pleine valeur probante. Au regard des constatations de cet expert, il y a lieu d’admettre que l’emploi temporairement exercé par le recourant en tant que magasinier n’était pas adapté à ses limitations fonctionnelles. Cette conclusion s’impose du reste également à la lecture des rapports du Dr E___________. On notera de plus qu’il n’existe aucun rapport médical plus récent permettant de remettre en doute les conclusions de l’expert. b) Conformément à la jurisprudence, il faut comparer la situation du recourant dès le 1er janvier 2007, soit au moment où il a cessé de travailler comme magasinier, à celle qui était la sienne lors de la décision de suppression de la rente du 13 mai 2004. A cette époque, le recourant avait trouvé un emploi dans lequel il ne subissait aucune perte de gain par rapport au revenu réalisé avant son accident. L’intimée a ainsi supprimé la rente non pas en raison d’une amélioration de l’état de santé du recourant mais de la disparition de l’incidence économique de l’accident sur la capacité de gain. Il est toutefois patent que l'activité de magasinier n’était pas adaptée aux limitations fonctionnelles retenues tant par le Dr E___________ que par le Dr F___________ et le Dr J___________. Contrairement à ce qu’affirme l’intimée, le recourant n’a pas quitté cet emploi pour des motifs personnels uniquement puisqu’il a déclaré au Dr J___________ que ses douleurs étaient une des raisons l’ayant conduit à résilier les rapports de travail. Une recrudescence des douleurs et les efforts consentis par le recourant pour poursuivre son activité de magasinier ressortent également du rapport du Dr F___________ du 6 avril 2006. On doit dès lors admettre que la poursuite de l'activité de magasinier n'était pas</w:t>
      </w:r>
    </w:p>
    <w:p>
      <w:r>
        <w:t>A/616/2012 - 16/20 - exigible du recourant, de sorte qu'il ne saurait lui être reproché avoir mis fin au contrat de ce travail. Ainsi, dès la fin de son activité de magasinier, le recourant subissait en principe à nouveau une perte de gain imputable à son accident, une activité adaptée ne lui permettant pas de réaliser le même salaire qu'avant son accident. Il y a donc bien eu une modification notable des circonstances puisque l’exercice d'une activité adaptée, quand bien même l'état de santé est resté stationnaire, engendre de nouveau une perte de gain.</w:t>
      </w:r>
    </w:p>
    <w:p>
      <w:r>
        <w:rPr>
          <w:b/>
        </w:rPr>
        <w:t>E. 11</w:t>
      </w:r>
    </w:p>
    <w:p>
      <w:r>
        <w:t>A) Selon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vaut également en cas de rechute (cf. ATFA non publié U 286/01 du 8 mars 2002, consid. 2b). Cela étant, elle ne trouve application que lorsque l'on procède pour la première fois à la fixation de la rente après une rechute (ATFA non publié U 343/99 du 16 mars 2000, consid. 4b/aa). b) En l'espèce, le recourant s'est déjà vu reconnaître une première fois moins de cinq ans après son accident le droit à une rente d'invalidité de 31 %, si bien qu'il n'y a pas lieu de modifier le salaire déterminant pour le calcul de la rente. Certes, le recourant n'a pas justifié ses revenus en France dans l'activité de chauffeur d'un bus scolaire qu'il dit exercer. Cependant, l'intimée n'a pas mis en doute que ses revenus soient égaux ou inférieurs à ceux qu'il pourrait obtenir dans une activité adaptée en Suisse. Cela doit également être admis au degré de la vraisemblance prépondérante, les salaires en France étant notoirement largement inférieurs à ceux pratiqués en Suisse. Cela étant, les conditions d'octroi d'une rente de l'assureur-accidents sont à nouveau remplies.</w:t>
      </w:r>
    </w:p>
    <w:p>
      <w:r>
        <w:rPr>
          <w:b/>
        </w:rPr>
        <w:t>E. 12</w:t>
      </w:r>
    </w:p>
    <w:p>
      <w:r>
        <w:t>Se pose également la question de savoir si l'intimée peut se contenter, dans le cadre d'une procédure de révision matérielle fondée sur une modification des circonstances économiques, de se fonder sur la capacité de travail dans une activité adaptée retenue lors de la première décision du 28 mars 2003 ou si elle doit réévaluer cette capacité de travail en prenant en considération les nouveaux rapports médicaux dont elle n'avait pas connaissance à l'époque et qui ont amené l'assurance-invalidité à admettre une incapacité de travail de 25%. a) En l'espèce, l'intimée ne saurait en tout état de cause être liée par la décision de l'assurance-invalidité, celle-ci étant postérieure à sa décision initiale. Elle n'avait</w:t>
      </w:r>
    </w:p>
    <w:p>
      <w:r>
        <w:t>A/616/2012 - 17/20 - donc ni à justifier pourquoi elle s'écartait de la décision de cette assurance ni à s'adapter à cette décision. b) Pour le surplus, il convient de constater que le recourant ne se prévaut pas d'une aggravation de son état de santé par rapport à celui sur lequel étaient fondées les décisions du 28 mars 2003 et du 13 mai 2004 de l'intimée. Par ailleurs, l'assurance- invalidité a octroyé un quart de rente à partir du 1er juin 2003 et n'a donc pas non plus estimé qu'il y ait eu une aggravation postérieurement à cette date. En l'absence de l'allégation d'une modification notable de l'état de santé avec répercussion sur la capacité et en rapport avec l'accident, il sied d'admettre que les circonstances médicales ne se sont pas modifiées, de sorte que l'intimée n'est pas tenue de procéder à une révision au niveau médical et de réévaluer la capacité de travail. Le cas échéant, il appartiendrait au recourant de demander une révision de sa rente en se prévalant d'une modification des circonstances médicales et en établissant non seulement une aggravation des séquelles de l'accident, mais également que celle-ci engendre des limitations supplémentaires réduisant sa capacité de travail dans une activité adaptée.</w:t>
      </w:r>
    </w:p>
    <w:p>
      <w:r>
        <w:rPr>
          <w:b/>
        </w:rPr>
        <w:t>E. 13</w:t>
      </w:r>
    </w:p>
    <w:p>
      <w:r>
        <w:t>Il sied encore d'examiner s'il y a lieu de procéder à une révision procédurale, dans la mesure où une nouvelle expertise a été effectuée, sur la base de laquelle l'assurance-invalidité retient une capacité de travail de 75% dans une activité adaptée, alors que l'intimée s'était fondée sur une capacité de travail totale.</w:t>
      </w:r>
    </w:p>
    <w:p>
      <w:r>
        <w:rPr>
          <w:b/>
        </w:rPr>
        <w:t>E. 14</w:t>
      </w:r>
    </w:p>
    <w:p>
      <w:r>
        <w:t>a) Les décisions et les décisions sur opposition formellement passées en force sont soumises à révision si l’assuré ou l’assureur découvre subséquemment des faits nouveaux importants ou trouve des moyens de preuve qui ne pouvaient être produits auparavant (art. 53 al. 1 LPGA, révision dite procédurale),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l'ancien article 137 lettre b OJ (ATFA non publié du 29 novembre 2005, C 175/04 consid. 2.2). b) Sont «nouveaux», au sens de l'art. 137 let. b aOJ,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w:t>
      </w:r>
    </w:p>
    <w:p>
      <w:r>
        <w:t>A/616/2012 - 18/20 - c)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w:t>
      </w:r>
    </w:p>
    <w:p>
      <w:r>
        <w:rPr>
          <w:b/>
        </w:rPr>
        <w:t>E. 15</w:t>
      </w:r>
    </w:p>
    <w:p>
      <w:r>
        <w:t>En l'occurrence, le Dr J___________ a procédé à une expertise de l'état de santé du recourant en janvier 2007, soit postérieurement aux décisions des 28 mars 2003 et 13 mai 2004. Selon cet expert, la capacité de travail dans une activité adaptée est réduite entre 50 et 25%, alors même que le Dr E___________ avait estimé que la capacité de travail était totale dans une telle activité Dans son expertise, le Dr J___________ ne fait pas état de faits nouveaux que les parties et notamment le Dr E___________ auraient ignorés lors de la première décision. Au contraire, l'expert retient exactement les mêmes diagnostics que le médecin d'arrondissement de l'intimée, sauf qu'il a également constaté, sur la base de nouveaux examens radiologiques, une gonarthrose bilatérale modérément avancée, sans signe de lésion osseuse post-traumatique (radiographie du 31 mars 2006), une coxarthrose protrusive bilatérale avancée (radiographie du 23 janvier 2007) et des troubles dégénératifs légers tibio-astragaliens bilatéraux (radiographie du 23 janvier 2007). Or, outre le fait que les troubles dégénératifs sont apparus après le dernier examen du Dr E___________, les troubles coxo-fémoraux et des genoux sont vraisemblablement à mettre en relation avec l'excès pondéral et donc étrangers à l'accident, selon le Dr J___________. En l'absence de faits nouveaux, l'expertise du Dr J___________ ne constitue donc pas un moyen de preuve nouveau, au sens de la loi, en faveur d'une incapacité</w:t>
      </w:r>
    </w:p>
    <w:p>
      <w:r>
        <w:t>A/616/2012 - 19/20 - supérieure à celle retenue à l'époque dans les premières décisions de l'intimée. Les conditions d'une révision procédurale ne sont donc pas réunies.</w:t>
      </w:r>
    </w:p>
    <w:p>
      <w:r>
        <w:rPr>
          <w:b/>
        </w:rPr>
        <w:t>E. 16</w:t>
      </w:r>
    </w:p>
    <w:p>
      <w:r>
        <w:t>Les répercussions économiques de l'accident du recourant étant identiques à celles qui prévalaient lors du calcul du degré d'invalidité de l'intimée en mars 2003, le recourant peut à nouveau prétendre à une rente d'invalidité de 31 % dès le 1er janvier 2007, date dès laquelle il subit à nouveau une perte de gain. En effet, aux termes de l'art. 24 al. 1 LPGA, le droit à des prestations ou à des cotisations arriérées s’éteint cinq ans après la fin du mois pour lequel la prestation était due et cinq ans après la fin de l’année civile pour laquelle la cotisation devait être payée. En l'espèce, la demande du recourant a été déposée en septembre 2008, soit avant l'écoulement du délai de cinq ans (cf. arrêt du Tribunal fédéral U 55/07 du 13 novembre 2007 consid. 4.3.2. in fine).</w:t>
      </w:r>
    </w:p>
    <w:p>
      <w:r>
        <w:rPr>
          <w:b/>
        </w:rPr>
        <w:t>E. 17</w:t>
      </w:r>
    </w:p>
    <w:p>
      <w:r>
        <w:t>Eu égard à ce qui précède, le recours sera partiellement admis, la décision annulée et le recourant mis au bénéfice d'une rente d'invalidité de 31% dès le 1er janvier 2007.</w:t>
      </w:r>
    </w:p>
    <w:p>
      <w:r>
        <w:rPr>
          <w:b/>
        </w:rPr>
        <w:t>E. 18</w:t>
      </w:r>
    </w:p>
    <w:p>
      <w:r>
        <w:t>Le recourant obtenant largement gain de cause, il y a lieu de lui accorder une indemnité de 2'000 fr. à titre de dépens.</w:t>
      </w:r>
    </w:p>
    <w:p>
      <w:r>
        <w:t>A/616/2012 - 20/20 -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