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ATAS/545/2010 vom 20. Mai 2010</w:t>
      </w:r>
    </w:p>
    <w:p>
      <w:r>
        <w:t>GE Cour de justice, 2010-05-20, FR</w:t>
      </w:r>
    </w:p>
    <w:p>
      <w:r>
        <w:rPr>
          <w:b/>
        </w:rPr>
        <w:t xml:space="preserve">Quelle: </w:t>
      </w:r>
      <w:r>
        <w:t>https://mcp.opencaselaw.ch/entscheid/ge_gerichte_ATAS_545_2010</w:t>
      </w:r>
    </w:p>
    <w:p>
      <w:r>
        <w:t>FR: GE_GERICHTE ATAS/545/2010 du 20 mai 2010</w:t>
      </w:r>
    </w:p>
    <w:p>
      <w:r>
        <w:t>IT: GE_GERICHTE ATAS/545/2010 del 20 maggio 2010</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Interjetés dans le délai et la forme prescrits auprès du Tribunal compétent, les recours formés le 20 avril 2009 à l’encontre des décisions du 17 mars 2009 sont recevables (art. 56 ss LPGA).</w:t>
      </w:r>
    </w:p>
    <w:p>
      <w:r>
        <w:rPr>
          <w:b/>
        </w:rPr>
        <w:t>E. 3</w:t>
      </w:r>
    </w:p>
    <w:p>
      <w:r>
        <w:t>Le litige porte sur le droit des recourants à l’indemnité en cas d’insolvabilité, principalement sur la question de savoir s’ils font partie - ou non - du cercle des personnes exclues de cette prestation.</w:t>
      </w:r>
    </w:p>
    <w:p>
      <w:r>
        <w:t>A/1428/2009 - 7/11 -</w:t>
      </w:r>
    </w:p>
    <w:p>
      <w:r>
        <w:rPr>
          <w:b/>
        </w:rPr>
        <w:t>E. 4</w:t>
      </w:r>
    </w:p>
    <w:p>
      <w:r>
        <w:t>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Les dispositions des art. 51 et suivants LACI ont introduit une assurance perte de gain en cas d’insolvabilité d’un employeur, destinée à combler une lacune dans le système de protection sociale. Pour le législateur, le privilège conféré par la loi fédérale du 11 avril 1889 sur la poursuite pour dettes et la faillite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(ATFA non publié du 19 avril 2002, C 326/01, consid. 2a et les références citées). L’indemnité en cas d’insolvabilité ne couvre que des créances de salaire qui portent sur un travail réellement fourni (ATF 127 V 185 consid. 3b ; ATFA non publié du 19 avril 2002, C 326/01, consid. 2a) ; par exemple, elle ne peut pas être octroyée pour des prétentions en raison d’un congédiement immédiat et injustifié du travailleur (ATF 125 V 492 consid. 3b et les références citées).</w:t>
      </w:r>
    </w:p>
    <w:p>
      <w:r>
        <w:rPr>
          <w:b/>
        </w:rPr>
        <w:t>E. 5</w:t>
      </w:r>
    </w:p>
    <w:p>
      <w:r>
        <w:t>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51 al. 2 LACI).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w:t>
      </w:r>
    </w:p>
    <w:p>
      <w:r>
        <w:t>A/1428/2009 - 8/11 - fonction des circonstances concrètes (DTA 1996/1997 no 41 p. 227 s. consid. 1b et 2; SVR 1997 ALV no 101 p. 311 consid. 5c). La seule exception à ce principe que reconnaît le Tribunal fédéral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270 consid. 3 p. 273; DTA 2004 no 21 p. 196 consid. 3.2, C 113/03).</w:t>
      </w:r>
    </w:p>
    <w:p>
      <w:r>
        <w:rPr>
          <w:b/>
        </w:rPr>
        <w:t>E. 6</w:t>
      </w:r>
    </w:p>
    <w:p>
      <w:r>
        <w:t>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 cf. Arrêt du Tribunal fédéral des assurances du 24 mars 2004 [C 113/03] publié dans DTA 2004, p. 196 - 199).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(DTA 2004 no 21 p. 196 consid. 4.2, C 113/03). C’est ainsi que le droit à cette indemnité doit aussi être nié pour les périodes postérieures à la sortie du conseil d’administration, lorsque les difficultés financières, qui ont finalement entraîné la faillite, existaient déjà auparavant (soit durant la période où la personne qui revendique des prestations siégeait encore au conseil d’administration) et que les rapports de travail ont été maintenus (RUBIN, Assurance-chômage, 2ème édition, Zurich 2006, p. 561 ; ATF 126 V 134, consid. 5c).</w:t>
      </w:r>
    </w:p>
    <w:p>
      <w:r>
        <w:rPr>
          <w:b/>
        </w:rPr>
        <w:t>E. 7</w:t>
      </w:r>
    </w:p>
    <w:p>
      <w:r>
        <w:t>a) Lorsque, comme en l’espèce, un assuré est membre du conseil d’administration d’une société anonyme, il n’est pas nécessaire, au vu des principes jurisprudentiels exposés supra, d'examiner plus avant l'étendue de son pouvoir de décision pour trancher le point de savoir s'il fait partie du cercle des personnes visées à l'art. 31 al. 3 let. c LACI et, partant, de celles visées à l'art. 51 al. 2 LACI. Certes, le recourant a démissionné avec effet immédiat du conseil d'administration de la société le 13 octobre 2008 (cf. convention de sortie signée le 13 octobre 2008 et courrier du recourant du 13 octobre 2008, pièces 4 et 5 du bordereau du recourant), l'inscription au registre du commerce ayant été radiée le 13 novembre 2008. Or, à ce propos, la jurisprudence considère que, pour déterminer jusqu'à quand un membre du conseil d'administration a effectivement pu influencer la</w:t>
      </w:r>
    </w:p>
    <w:p>
      <w:r>
        <w:t>A/1428/2009 - 9/11 - gestion de l'entreprise, on se fonde sur la date à laquelle sa démission est devenue effective; on ne tient compte ni de la date à laquelle son inscription a été rayée du registre du commerce, ni de la date de la publication dans la Feuille officielle suisse du commerce (ATF 126 V 134 consid. 5b p. 137; DTA 2000 no 34 p. 178 s. consid. 1, C 184/99). Toutefois, en l'occurrence, il ressort des éléments du dossier que les difficultés financières qui ont finalement entraîné la faillite de la société le 6 janvier 2009 existaient avant la sortie du recourant du conseil d'administration, le 13 octobre 2008. En effet, l’administrateur de X__________ SA qui a succédé au recourant, nommé le 31 octobre 2008, a déclaré au chargé de faillites que les comptes de la société qu’il avait examinés dès son entrée en fonction faisaient apparaître une situation de surendettement au 30 juin 2008 confirmée par le réviseur aux comptes (pièce 9 de l’intimée). Fort de ce constat, ce même administrateur a d’ailleurs immédiatement avisé le juge, par requête déposée le 19 décembre 2008. La créance en salaire du recourant vis-à-vis de la société a d’ailleurs été colloquée en troisième classe (cf. état de collocation ; pièce 10 de la caisse), et non pas en première, comme c’est le cas des autres travailleurs, et ce compte tenu de ses fonctions d’administrateur (cf. explications du chargé de faillites, pièce 9 de la caisse). De plus, en tant que Directeur général de la société mère (cf. contrat de travail du 29 mars 2007), actionnaire à 100% de X__________ SA, le recourant disposait à double titre d’un droit de regard sur les comptes de son employeur. Il ressort d’ailleurs de la convocation par mail à la séance urgente du conseil d’administration de Y__________ SA, du 17 juillet 2008, que le recourant était chargé notamment de présenter la situation financière de X__________ SA ainsi que les différents scenarios à envisager, soit la faillite de X__________ SA, une liquidation « soft » ou la continuation des activités (cf. points 1 et 2 de l’ordre du jour). Enfin, La lettre de licenciement adressée au recourant le 24 novembre 2008 mentionnait également les graves difficultés traversées par la société. b) Le recourant fait encore valoir que dans la mesure où l’actionnaire majoritaire de Y__________ SA avait décidé d’injecter des fonds supplémentaires, il ne faisait aucun doute que l’objectif était la continuation de l’activité de X__________ SA après sa sortie du conseil d’administration. Dans ces conditions, la décision de cesser les activités de X__________ SA avait été prise après sa démission. Ces circonstances ne sauraient non plus le faire apparaître comme un salarié ordinaire et lui ouvrir le droit aux indemnités en cas d’insolvabilité. En effet, on rappellera qu’en adoptant l’art. 51 al. 2 LACI, le législateur a voulu exclure d’une protection particulière les personnes qui exercent aussi bien une influence sur la conduite des affaires qu’un droit de regard sur les pièces comptables et ne sont, de ce fait, pas surprises par la faillite subite de l’employeur. Cette disposition n’exige</w:t>
      </w:r>
    </w:p>
    <w:p>
      <w:r>
        <w:t>A/1428/2009 - 10/11 - donc pas que l’on puisse imputer aux intéressés une responsabilité effective dans l’insolvabilité de ce dernier.</w:t>
      </w:r>
    </w:p>
    <w:p>
      <w:r>
        <w:rPr>
          <w:b/>
        </w:rPr>
        <w:t>E. 8</w:t>
      </w:r>
    </w:p>
    <w:p>
      <w:r>
        <w:t>Au vu de ce qui précède, la caisse était fondée, par sa décision sur opposition du 17 mars 2009, à nier le droit du recourant à une indemnité en cas d’insolvabilité. Point n’est ainsi nécessaire d’examiner si les autres conditions du droit à cette indemnité, notamment en relation avec l’aptitude au placement, sont en l’espèce réunies. Pour les mêmes motifs, c’est à juste titre que l’intimée a nié le droit de l’épouse du recourant à l’indemnité en cas d’insolvabilité.</w:t>
      </w:r>
    </w:p>
    <w:p>
      <w:r>
        <w:rPr>
          <w:b/>
        </w:rPr>
        <w:t>E. 9</w:t>
      </w:r>
    </w:p>
    <w:p>
      <w:r>
        <w:t>En tous points mal fondés, les recours doivent ainsi être rejetés.</w:t>
      </w:r>
    </w:p>
    <w:p>
      <w:r>
        <w:t>A/1428/2009 - 11/11 -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