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ATAS/545/2008 vom 7. Mai 2008</w:t>
      </w:r>
    </w:p>
    <w:p>
      <w:r>
        <w:t>GE Cour de justice, 2008-05-07, FR</w:t>
      </w:r>
    </w:p>
    <w:p>
      <w:r>
        <w:rPr>
          <w:b/>
        </w:rPr>
        <w:t xml:space="preserve">Quelle: </w:t>
      </w:r>
      <w:r>
        <w:t>https://mcp.opencaselaw.ch/entscheid/ge_gerichte_ATAS_545_2008</w:t>
      </w:r>
    </w:p>
    <w:p>
      <w:r>
        <w:t>FR: GE_GERICHTE ATAS/545/2008 du 7 mai 2008</w:t>
      </w:r>
    </w:p>
    <w:p>
      <w:r>
        <w:t>IT: GE_GERICHTE ATAS/545/2008 del 7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w:t>
      </w:r>
    </w:p>
    <w:p>
      <w:r>
        <w:t>A/3212/2007 - 10/16 -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par la loi, le recours est recevable (art. 56 et 60 LPGA).</w:t>
      </w:r>
    </w:p>
    <w:p>
      <w:r>
        <w:rPr>
          <w:b/>
        </w:rPr>
        <w:t>E. 4</w:t>
      </w:r>
    </w:p>
    <w:p>
      <w:r>
        <w:t>Le litige consiste à déterminer si c'est à bon droit que l'intimé a réduit, par voie de revision, la rente du recourant à une demi-rente d'invalidité dès le 1er août 2007.</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A cet égard, il convient de relever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w:t>
      </w:r>
    </w:p>
    <w:p>
      <w:r>
        <w:t>A/3212/2007 - 11/16 - qui constitue le point de départ temporel pour l'examen d'une modification du degré d'invalidité lors d'une révision de la rente (AT 133 V 108 consid. 5 p.110 ss).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Conformément à l'art. 88a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w:t>
      </w:r>
    </w:p>
    <w:p>
      <w:r>
        <w:rPr>
          <w:b/>
        </w:rPr>
        <w:t>E. 6</w:t>
      </w:r>
    </w:p>
    <w:p>
      <w:r>
        <w:t>Par ailleurs,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La reconsidération est désormais expressément prévue à l'art. 53 LPGA : l'administration peut reconsidérer une décision formellement passée en force de chose jugée sur laquelle aucune autorité judiciaire ne s'est prononcée, à condition qu'elle soit sans nul doute erronée et que sa rectification revête une importance notable (Ueli KIESER, ATSG-Kommentar, Kommentar zum Bundesgesetz über den Allgemeinen Teil des Sozialversicherungsrechts vom 6. Oktober 2000, Zürich 2003, ch. 18 ad art. 53). En outre, par analogie avec la révision des décisions rendues par les autorités judiciaires, l'administration est tenue de procéder à la révision d'une décision formellement passée en force lorsque sont découverts des</w:t>
      </w:r>
    </w:p>
    <w:p>
      <w:r>
        <w:t>A/3212/2007 - 12/16 - faits nouveaux importants ou de nouveaux moyens de preuve qui ne pouvaient être produits avant, susceptibles de conduire à une appréciation juridique différente (ATF 127 V 469 consid. 2c et les références, 130 V 349 s. consid. 3.5; SVR 2004 ALV n° 14 p. 43 sv. consid. 3).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des faits erronée résultant de l'appréciation des preuves (ATF 117 V 8 consid. 2c p. 17, 115 V 308 consid. 4a/cc p. 314).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I 559/02).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 575/2007 du 18 octobre 2007, consid. 2 .2 et I 907/06 du 7 mai 2007 consid. 2.2).</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t>A/3212/2007 - 13/16 -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w:t>
      </w:r>
    </w:p>
    <w:p>
      <w:r>
        <w:rPr>
          <w:b/>
        </w:rPr>
        <w:t>E. 8</w:t>
      </w:r>
    </w:p>
    <w:p>
      <w:r>
        <w:t>En l'occurrence, il convient de comparer les faits tels qu'ils se présentaient au moment de la décision initiale de rente du 4 août 1998, avec ceux prévalant lors de la décision litigieuse du 25 juin 2007. a) En 1998, l'intimé s'était fondé sur les rapports médicaux des Dr L________ et M________ qui avaient posé les diagnostics de deux discopathies majeures, à savoir une hernie discale L4-L5 médiane et paramédiane, ainsi qu'une rétro- inclinaison lombaire et cyphose dorsale qu'il convenait de traiter dans un premier temps par de la gymnastique et le port d'un corset. Le recourant souffrait en outre d'une lombalgie chronique invalidante sur dégénérescence discale L4-L5 ainsi que de troubles posturaux de la colonne lombaire avec une scoliose à convexité gauche et torsion axiale. Selon le Dr L________, le recourant ne pouvait plus exercer son activité de maçon, mais des mesures professionnelles étaient indiquées, dans une activité ne nécessitant pas de flexion du tronc à répétition, ni de port de charges</w:t>
      </w:r>
    </w:p>
    <w:p>
      <w:r>
        <w:t>A/3212/2007 - 14/16 - lourdes ou la position debout longtemps. Le médecin-conseil de l'OCAI avait cependant considéré - contrairement à ce que demandait le recourant - que des mesures professionnelles n'étaient pas indiquées. b) En procédure de révision, qui a duré de 2000 à 2007, plusieurs médecins et experts ont examiné le recourant et se sont prononcés sur son état de santé. S'agissant des diagnostics, force est de constater une divergence dans les avis médicaux sur la nature des troubles présentés par le recourant. Selon le rapport du médecin traitant du 9 août 2000, l'état de santé du recourant est stationnaire et l'incapacité de travail totale dans son activité de maçon. Il se réfère aux diagnostics évoqués dans son rapport du 5 avril 1997 et mentionne en outre que son patient présente des lombosciatalgies aiguës récidivantes sur hernie discale L4-L5. Le Dr S________ a observé sur le scanner lombaire du 1er novembre 1999 une hernie discale L4-L5 sans évidence d'empreinte sur les racines émergeantes. A l'IRM du 9 septembre 2005, il a diagnostiqué des discopathies L4-L5 et L5-S1 avec dessication discal et pincement discal L4-L5, ainsi qu'une protrusion sous-ligamentaire médiane-paramédiane bilatérale, discrète sans aucun conflit décelable. D'autres médecins, à l'instar des Dr V________, A________ et B________, parlent de lombalgies chroniques ou lombosciatalgies non déficitaires, voire de discopathie L4-L5 et L5-S1 (Dresse R________). Le Dr O________, dans son rapport de janvier 2000, n'est pas d'accord avec les radiologues et retient plutôt un débord discal. L'expertise du COMAI, datée du 27 septembre 2002, retient les diagnostics de lombalgies communes sans irritation radiculaire avec protrusion discale L3-L4, L4-L5, tout en admettant n'avoir pas eu en mains l'IRM de 1996, et de syndrome somatoforme persistant douloureux. Selon l'expert rhumatologue, il n'y pas de hernie discale à proprement parler, car l'image de protrusion discale médiane latérale gauche objectivée sur le CT-scan du 29 octobre 1999 n'a pas de signification pathologique certaine. L'expert T________ ne retient pas non plus le diagnostic de hernie discale, sans pour autant l'expliciter. Selon le COMAI, la capacité de travail du recourant dans une activité adaptée est de 100 %, du point de vue rhumatologique, alors que le Dr T________ estime cette capacité de travail à 50 %. Le Tribunal de céans constate que malgré les différences de diagnostics, les médecins ne font pas mention d'une amélioration de l'état de santé sur le plan dorso-lombaire, bien au contraire. En effet, le Dr T________, en comparant les clichés du rachis lombaire du 28 octobre 1999 et les clichés d'expertise réalisés par lui le 15 août 2006, note l'apparition d'une scoliose lombaire modeste à convexité gauche, sans bascule du bassin et une accentuation notable de la posture du tronc en renversement lombaire. Il fait état également d'une ostéopénie radiologique nécessitant d'accomplir une densitométrie osseuse. Enfin, sur le plan psychique, les experts du COMAI retiennent un trouble dépressif récurrent, épisode actuel moyen</w:t>
      </w:r>
    </w:p>
    <w:p>
      <w:r>
        <w:t>A/3212/2007 - 15/16 - stabilisé sous traitement, et un trouble de la personnalité et considèrent que la capacité de travail du recourant est de 50 %, du point de vue psychique, après un temps de réadaptation. Sur le plan strictement médical, le Tribunal de céans constate que l'état de santé du recourant ne s'est pas amélioré et que la capacité de travail résulte d'une appréciation différente des faits, ce qui n'autorise pas la révision. c) Le Tribunal de céans relève toutefois que la première décision d'octroi de rente était manifestement erronée. En effet, l'intimé a fait fi du rapport du médecin traitant; si l'incapacité de travail était totale dans l'activité de maçon, le médecin préconisait des mesures professionnelles, qui étaient indiquées depuis le mois de mai 1996, et précisait que l'activité envisagée devait respecter certaines limitations. L'intimé n'a pas demandé au médecin de se prononcer plus précisément sur la capacité de travail du recourant dans une activité adaptée, ni instruit davantage. Bien que le recourant n'ait cessé de demander l'octroi de mesures professionnelles, l'intimé s'est borné à prendre acte de l'avis de son médecin-conseil qui a considéré que l'état de santé n'était pas stabilisé et que de telles mesures n'étaient pas indiquées. Il convient en conséquence d'admettre la décision de révision de l'intimé, mais pour le motif substitué que la première décision d'octroi d'une rente entière d'invalidité était manifestement erronée.</w:t>
      </w:r>
    </w:p>
    <w:p>
      <w:r>
        <w:t>Pour le surplus, le Tribunal de céans n'est pas en mesure de statuer. En effet, d'une part, sur le plan médical, il convient de relever que l'instruction n'est pas complète, dès lors que l'expert T________ a relevé une ostéopénie radiologique nécessitant une densitométrie osseuse. Or, on ignore si cet examen a été fait et, le cas échéant, quels en sont les résultats. D'autre part, les experts rhumatologues ne sont pas d'accord quant à l'appréciation de la capacité de travail dans une activité adaptée (100 % selon le COMAI, 50 % selon le Dr T________).</w:t>
      </w:r>
    </w:p>
    <w:p>
      <w:r>
        <w:t>En conséquence, la cause sera renvoyée à l'intimé pour instruction complémentaire, afin de déterminer exactement quelles sont les atteintes à la santé du recourant et les limitations qu'elles entraînent. L'instruction devra établir quelle est la capacité de travail dans une activité adaptée, et quelles sont, le cas échéant, les mesures professionnelles à mettre en œuvre.</w:t>
      </w:r>
    </w:p>
    <w:p>
      <w:r>
        <w:rPr>
          <w:b/>
        </w:rPr>
        <w:t>E. 9</w:t>
      </w:r>
    </w:p>
    <w:p>
      <w:r>
        <w:t>Le recourant, qui n'obtient pas gain de cause, n'a pas droit à une participation à ses frais et dépens (art. 89H LPA).</w:t>
      </w:r>
    </w:p>
    <w:p>
      <w:r>
        <w:rPr>
          <w:b/>
        </w:rPr>
        <w:t>E. 10</w:t>
      </w:r>
    </w:p>
    <w:p>
      <w:r>
        <w:t>Au vu de l'issue du litige, un émolument de 200 fr. est mis à la charge de l'OCAI (art. 69al. 1bis LAI).</w:t>
      </w:r>
    </w:p>
    <w:p>
      <w:r>
        <w:t>A/3212/2007 - 16/16 -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