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ATAS/544/2025 vom 14. Juli 2025</w:t>
      </w:r>
    </w:p>
    <w:p>
      <w:r>
        <w:t>GE Cour de justice, 2025-07-14, FR</w:t>
      </w:r>
    </w:p>
    <w:p>
      <w:r>
        <w:rPr>
          <w:b/>
        </w:rPr>
        <w:t xml:space="preserve">Quelle: </w:t>
      </w:r>
      <w:r>
        <w:t>https://mcp.opencaselaw.ch/entscheid/ge_gerichte_ATAS_544_2025</w:t>
      </w:r>
    </w:p>
    <w:p>
      <w:r>
        <w:t>FR: GE_GERICHTE ATAS/544/2025 du 14 juillet 2025</w:t>
      </w:r>
    </w:p>
    <w:p>
      <w:r>
        <w:t>IT: GE_GERICHTE ATAS/544/2025 del 14 luglio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t>A/3797/2024 - 5/23 - La procédure devant la chambre de céans est ainsi régie par les dispositions de la LPGA et de la loi sur la procédure administrative, du 12 septembre 1985 (LPA – E 5 10).</w:t>
      </w:r>
    </w:p>
    <w:p>
      <w:r>
        <w:rPr>
          <w:b/>
        </w:rPr>
        <w:t>E. 1.3</w:t>
      </w:r>
    </w:p>
    <w:p>
      <w:r>
        <w:t>Le délai de recours est de 30 jours (art. 60 al. 1 LPGA ; art. 62 al. 1 LPA). Posté le 13 novembre 2024, le recours a été interjeté en temps utile. Comme il respecte également les conditions de forme prévues par l’art. 61 let. b LPGA (art. 89B LPA), il est recevable.</w:t>
      </w:r>
    </w:p>
    <w:p>
      <w:r>
        <w:rPr>
          <w:b/>
        </w:rPr>
        <w:t>E. 2</w:t>
      </w:r>
    </w:p>
    <w:p>
      <w:r>
        <w:t>Le litige porte sur le droit de la recourante à des prestations d’assurance-invalidité.</w:t>
      </w:r>
    </w:p>
    <w:p>
      <w:r>
        <w:rPr>
          <w:b/>
        </w:rPr>
        <w:t>E. 3.1</w:t>
      </w:r>
    </w:p>
    <w:p>
      <w:r>
        <w:t>Le 1er janvier 2022, sont entrées en vigueur les modifications de la LAI du 19 juin 2020 (développement continu de l’AI ; RO 2021 705) ainsi que celles du 3 novembre 2021 du règlement sur l’assurance-invalidité du 17 janvier 1961 (RAI – RS 831.201 ;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3.2</w:t>
      </w:r>
    </w:p>
    <w:p>
      <w:r>
        <w:t>En l’occurrence, au vu de la demande de prestations du 16 février 2024, il n’est pas contesté que ces dernières – dont le refus d’octroi est litigieux – ne pourraient naître qu’après le 31 décembre 2021, de sorte que les dispositions applicables seront citées dans leur nouvelle teneur.</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La notion d’invalidité, au sens du droit des assurances sociales, est une notion économique et non médicale ; ce sont les conséquences économiques objectives</w:t>
      </w:r>
    </w:p>
    <w:p>
      <w:r>
        <w:t>A/3797/2024 - 6/23 -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I 654/00 du 9 avril 2001 consid. 1).</w:t>
      </w:r>
    </w:p>
    <w:p>
      <w:r>
        <w:rPr>
          <w:b/>
        </w:rPr>
        <w:t>E. 5.1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5.2</w:t>
      </w:r>
    </w:p>
    <w:p>
      <w:r>
        <w:t>Selon l’art. 28a LAI, l’évaluation du taux d’invalidité des assurés exerçant une activité lucrative est régie par l’art. 16 LPGA. Le Conseil fédéral fixe les revenus déterminants pour l’évaluation du taux d’invalidité ainsi que les facteurs de correction applicables (al. 1). Le taux d’invalidité de l’assuré qui n’exerce pas</w:t>
      </w:r>
    </w:p>
    <w:p>
      <w:r>
        <w:t>A/3797/2024 - 7/23 - d’activité lucrative, qui accomplit ses travaux habituels et dont on ne peut raisonnablement exiger qu’il entreprenne une activité lucrative est évalué, en dérogation à l’art. 16 LPGA, en fonction de son incapacité à accomplir ses travaux habituels (al. 2).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Dans ce cas, les parts respectives de l’activité lucrative ou du travail dans l’entreprise du conjoint et de l’accomplissement des travaux habituels sont déterminées; le taux d’invalidité est calculé dans les deux domaines d’activité (al. 3). Aux termes de l’art. 27bis al. 1 RAI, le taux d’invalidité des personnes qui exercent une activité lucrative à temps partiel est déterminé par l’addition des taux suivants: a. le taux d’invalidité en lien avec l’activité lucrative ; b. le taux d’invalidité en lien avec les travaux habituels. Selon l’art. 27bis al. 2 RAI, le taux d’invalidité en lien avec l’activité lucrative est déterminé : a. en extrapolant le revenu sans invalidité pour une activité lucrative correspondant à un taux d’occupation de 100% ; b. en calculant le revenu avec invalidité sur la base d’une activité lucrative correspondant à un taux d’occupation de 100% et en l’adaptant selon la capacité fonctionnelle déterminante ; c. en pondérant la perte de gain exprimée en pourcentage en fonction du taux d’occupation qu’aurait l’assuré s’il n’était pas invalide. Selon l’art. 27bis al. 3 RAI, le taux d’invalidité en lien avec les travaux habituels est calculé : a. en déterminant le pourcentage que représentent les limitations dans les travaux habituels par rapport à la situation dans laquelle l’assuré serait sans invalidité ; b. en pondérant le pourcentage déterminé à la let. a en fonction de la différence entre le taux d’occupation visé à l’al. 2, let. c, et une activité lucrative exercée à plein temps.</w:t>
      </w:r>
    </w:p>
    <w:p>
      <w:r>
        <w:rPr>
          <w:b/>
        </w:rPr>
        <w:t>E. 5.3</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 revanche, si le dossier médical est clair, en ce sens qu’il permet d’exclure, dans le ménage, un handicap déterminant pour le droit aux prestations, on peut renoncer à effectuer une enquête économique sur le ménage (arrêt du Tribunal fédéral 9C_103/2010 du 2 septembre 2020 consid. 2.2 ; Ulrich MEYER/ Marco</w:t>
      </w:r>
    </w:p>
    <w:p>
      <w:r>
        <w:t>A/3797/2024 - 8/23 - REICHMUTH, Rechtsprechung des Bundesgerichts zum Bundesgesetz über die Invalidenversicherung [IVG], 4e éd., 2022, n. 165 ad art. 28a LAI).</w:t>
      </w:r>
    </w:p>
    <w:p>
      <w:r>
        <w:rPr>
          <w:b/>
        </w:rPr>
        <w:t>E. 5.4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5.5</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5.6</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5.6.1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5.6.2</w:t>
      </w:r>
    </w:p>
    <w:p>
      <w:r>
        <w:t>Un rapport du SMR a pour fonction d’opérer la synthèse des renseignements médicaux versés au dossier, de prendre position à leur sujet et de prodiguer des recommandations quant à la suite à donner au dossier sur le plan médical. En tant</w:t>
      </w:r>
    </w:p>
    <w:p>
      <w:r>
        <w:t>A/3797/2024 - 9/23 -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5.6.3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Aussi n’existe-t-il pas, en droit des assurances sociales, un principe selon lequel l’administration ou le juge devrait statuer, dans le doute, en faveur de l’assuré (ATF 135 V 39 consid. 6.1 et la référence).</w:t>
      </w:r>
    </w:p>
    <w:p>
      <w:r>
        <w:rPr>
          <w:b/>
        </w:rPr>
        <w:t>E. 6.2</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(art. 43 al. 1 et 61 let. c LPGA). En principe, les parties ne supportent ni le fardeau de l’allégation ni celui de l’administration des preuves. Cette maxime doit cependant être relativisée par son corollaire, soit le</w:t>
      </w:r>
    </w:p>
    <w:p>
      <w:r>
        <w:t>A/3797/2024 - 10/23 -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7</w:t>
      </w:r>
    </w:p>
    <w:p>
      <w:r>
        <w:t>En l’espèce, la chambre de céans constate que les rapports des médecins traitants sur lesquels l’avis du 27 juin 2024 du SMR se fonde permettent de retenir que l’assurée présente un syndrome du tunnel carpien bilatéral et, à titre d’atteinte principale, une arthrose métacarpienne droite qui est la cause de limitations fonctionnelles, soit d’une diminution de la force et de l’endurance dans les prises mono- et bimanuelles ainsi que lors de la pince pouce-index. Il convient de reconnaître valeur probante à l’avis du 27 juin 2024 du SMR faisant siennes les appréciations bien motivées et non contestées de ces médecins. Il en va de même de l’appréciation – non contestée – du 27 mars 2024 du Dr H______, selon laquelle les atteintes n’ont pas de répercussions durablement incapacitantes dans les activités courantes de la vie domestique. En conséquence, la chambre de céans considérera qu’il est établi, au degré de la vraisemblance prépondérante, que ces atteintes n’entraînent pas d’empêchements durables dans l’accomplissement des travaux habituels de l’assurée, mais une capacité de travail nulle dans toute activité professionnelle du 26 décembre 2023 au 26 mars 2024, laquelle était à nouveau entière dès le 27 mars 2024 dans une activité adaptée aux limitations fonctionnelles précitées, respectivement de 50% dans l’activité habituelle de coiffeuse. Il s’ensuit que la décision litigieuse pouvait valablement se fonder sur l’avis du 27 juin 2024 du SMR et le rapport du 27 mars 2024 du Dr H______.</w:t>
      </w:r>
    </w:p>
    <w:p>
      <w:r>
        <w:rPr>
          <w:b/>
        </w:rPr>
        <w:t>E. 8</w:t>
      </w:r>
    </w:p>
    <w:p>
      <w:r>
        <w:t>Il reste à examiner le statut de l’intéressée et, cela fait, son degré d’invalidité. Selon l’art. 24septies RAI, le statut d’un assuré est déterminé en fonction de la situation professionnelle dans laquelle il se trouverait s’il n’était pas atteint dans sa santé (al. 1). L’assuré est réputé exercer une activité lucrative au sens de l’art. 28a al. 1 LAI dès lors qu’en bonne santé, il exercerait une activité lucrative à un taux d’occupation de 100% ou plus (al. 2 let. a). Il ressort en l’espèce du rapport de l’employeur (dossier AI, doc. 15) que l’assurée travaillait à 80% avant la survenance de son atteinte à la santé en décembre 2023.</w:t>
      </w:r>
    </w:p>
    <w:p>
      <w:r>
        <w:t>A/3797/2024 - 11/23 - Dans la mesure où la recourante ne conteste pas que sans cette atteinte, ce taux d’activité aurait toujours été d’actualité au moment de la décision litigieuse, l’intimé était fondé à retenir un statut mixte en fonction d’une clé de répartition de 80% pour l’activité lucrative et de 20% pour les travaux habituels.</w:t>
      </w:r>
    </w:p>
    <w:p>
      <w:r>
        <w:rPr>
          <w:b/>
        </w:rPr>
        <w:t>E. 9</w:t>
      </w:r>
    </w:p>
    <w:p>
      <w:r>
        <w:t>Conformément aux principes exposés ci-dessus (consid. 5.2), il convient à présent de fixer le degré d’invalidité pour la part professionnelle (ci-après : consid. 9.2 à 9.7) et les travaux habituels (consid. 9.8).</w:t>
      </w:r>
    </w:p>
    <w:p>
      <w:r>
        <w:rPr>
          <w:b/>
        </w:rPr>
        <w:t>E. 9.1</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w:t>
      </w:r>
    </w:p>
    <w:p>
      <w:r>
        <w:rPr>
          <w:b/>
        </w:rPr>
        <w:t>E. 9.2</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w:t>
      </w:r>
    </w:p>
    <w:p>
      <w:r>
        <w:rPr>
          <w:b/>
        </w:rPr>
        <w:t>E. 9.3</w:t>
      </w:r>
    </w:p>
    <w:p>
      <w:r>
        <w:t>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et des indemnités journalières de l’assurance- invalidité (let. b).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(ci-après : ESS) de l’Office fédéral de la statistique (ci-après : OFS) font foi. D’autres valeurs statistiques peuvent être utilisées, pour autant que le revenu en question ne soit pas représenté dans l’ESS. Les valeurs utilisées sont indépendantes de l’âge et</w:t>
      </w:r>
    </w:p>
    <w:p>
      <w:r>
        <w:t>A/3797/2024 - 12/23 - tiennent compte du sexe (art. 25 al. 3 RAI). Les valeurs statistiques sont adaptées au temps de travail usuel au sein de l’entreprise selon la division économique ainsi qu’à l’évolution des salaires nominaux (art. 25 al. 4 RAI).</w:t>
      </w:r>
    </w:p>
    <w:p>
      <w:r>
        <w:rPr>
          <w:b/>
        </w:rPr>
        <w:t>E. 9.4</w:t>
      </w:r>
    </w:p>
    <w:p>
      <w:r>
        <w:t>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rPr>
          <w:b/>
        </w:rPr>
        <w:t>E. 9.5</w:t>
      </w:r>
    </w:p>
    <w:p>
      <w:r>
        <w:t>Le revenu sans invalidité obéit aux principes suivants :</w:t>
      </w:r>
    </w:p>
    <w:p>
      <w:r>
        <w:rPr>
          <w:b/>
        </w:rPr>
        <w:t>E. 9.5.1</w:t>
      </w:r>
    </w:p>
    <w:p>
      <w:r>
        <w:t>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Si le revenu effectivement réalisé est inférieur d’au moins 5% aux valeurs médianes usuelles dans la branche selon l’ESS au sens de l’art. 25 al. 3, le revenu sans invalidité correspond à 95% de ces valeurs médianes, excepté lorsque le revenu avec invalidité au sens de l’art. 26bis al. 1 RAI est également inférieur d’au moins 5% aux valeurs médianes usuelles dans la branche selon l’ESS ou lorsque l’assuré exerçait une activité lucrative indépendante (art. 26 al. 2 et 3 RAI). Pour déterminer le revenu hypothétique que l’assuré aurait pu réaliser sans l’atteinte à la santé (revenu sans invalidité), ce n’est pas le revenu de sa dernière activité qui est déterminant, mais le revenu qu’il aurait réalisé au degré de la vraisemblance prépondérance s’il n’était pas devenu invalide (arrêt du Tribunal fédéral 9C_887/2017 du 7 juin 2018 consid. 4.2; Madeleine RANDACHER, in KIESER/ KRADOLFER/ LENDFERS [éd.], ATSG-Kommentar, 5e éd. 2024, n. 20 ad art. 16 LPGA).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w:t>
      </w:r>
    </w:p>
    <w:p>
      <w:r>
        <w:rPr>
          <w:b/>
        </w:rPr>
        <w:t>E. 9.5.2</w:t>
      </w:r>
    </w:p>
    <w:p>
      <w:r>
        <w:t>Si le revenu sans invalidité effectivement réalisé ne peut pas être déterminé ou ne peut pas l’être avec suffisamment de précision, il est déterminé sur la base</w:t>
      </w:r>
    </w:p>
    <w:p>
      <w:r>
        <w:t>A/3797/2024 - 13/23 - des valeurs statistiques visées à l’art. 25 al. 3 RAI pour une personne ayant la même formation et une situation professionnelle correspondante (art. 26 al. 4 RAI).</w:t>
      </w:r>
    </w:p>
    <w:p>
      <w:r>
        <w:rPr>
          <w:b/>
        </w:rPr>
        <w:t>E. 9.6</w:t>
      </w:r>
    </w:p>
    <w:p>
      <w:r>
        <w:t>S’agissant du revenu avec invalidité, l’art. 26bis al. 1 RAI dispose que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Si l’assuré ne réalise pas de revenu déterminant, le revenu avec invalidité est déterminé en fonction des valeurs statistiques visées à l’art. 25 al. 3 RAI (art. 26bis al. 2 RAI). Dans ce cas,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telle qu’elle ressort de la version de l’ESS publiée au moment déterminant de la décision querellée (ATF 143 V 295 consid. 4 ; arrêt du Tribunal fédéral 8C_655/2016 du 4 août 2017 consid. 6.3).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 545 et les références citées ; arrêts du Tribunal fédéral 8C_124/2021 du 2 août 2021 consid. 4.4.1 ; 8C_111/2021 du 30 avril 2021 consid. 4.2.1 et les références).</w:t>
      </w:r>
    </w:p>
    <w:p>
      <w:r>
        <w:rPr>
          <w:b/>
        </w:rPr>
        <w:t>E. 9.6.1</w:t>
      </w:r>
    </w:p>
    <w:p>
      <w:r>
        <w:t>Depuis la 10e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 T17 de l’ESS 2012 p. 44) et du type de travail, de la formation nécessaire à la pratique de la profession et de l’expérience professionnelle (voir table TA1 « skill level » de l’ESS 2012 ; ATF 142 V 178 consid. 2.5.3). Le niveau 1 est le plus bas et correspond aux tâches physiques et manuelles simples, tandis que le niveau 4 est le plus élevé et regroupe les professions qui exigent une capacité à résoudre</w:t>
      </w:r>
    </w:p>
    <w:p>
      <w:r>
        <w:t>A/3797/2024 - 14/23 -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(cf. ATF 150 V 354 consid. 6.1). Pour les personnes assurées qui, après la survenance de l’atteinte à la santé, ne peuvent plus effectuer que des travaux légers et non exigeants sur le plan intellectuel, il convient de se baser sur le salaire mensuel brut moyen (ligne « total ») des hommes (ou des femmes) pour des activités simples et répétitives, c’est-à-dire sur le niveau de compétence 1, qui est le plus bas (arrêt du Tribunal fédéral 8C_695/2015 du 19 novembre 2015 consid. 4.2 et les références ; cité in Ulrich MEYER/ Marco REICHMUTH, op. cit., n. 101 ad art. 28a LAI).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w:t>
      </w:r>
    </w:p>
    <w:p>
      <w:r>
        <w:rPr>
          <w:b/>
        </w:rPr>
        <w:t>E. 9.6.2</w:t>
      </w:r>
    </w:p>
    <w:p>
      <w:r>
        <w:t>Selon l’art. 26bis al. 3 RAI (dans sa teneur en vigueur du 1er janvier 2022 au 31 décembre 2023), si, du fait de l’invalidité, les capacités fonctionnelles de l’assuré au sens de l’art. 49 al. 1bis RAI, ne lui permettent de travailler qu’à un taux d’occupation de 50% ou moins, une déduction de 10% pour le travail à temps partiel est opérée sur la valeur statistique. Dans un arrêt de principe (ATF 150 V 410), le Tribunal fédéral a considéré que le régime de déduction sur les salaires statistiques des ESS, tel que prévu de manière exhaustive à l’art. 26bis al. 3 RAI (dans sa teneur en vigueur du 1er janvier 2022 au 31 décembre 2023), n’est pas compatible avec le droit fédéral. Le</w:t>
      </w:r>
    </w:p>
    <w:p>
      <w:r>
        <w:t>A/3797/2024 - 15/23 -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(consid. 9.4.2). Or, en limitant la déduction à 10% dans le cas où les capacités fonctionnelles de la personne assurée ne lui permettent de travailler qu’à un taux d’occupation de 50% ou moins (art. 26bis al. 3 RAI), le Conseil fédéral avait choisi une autre voie (consid. 9.4.3). Par conséquent, si en raison des circonstances du cas d’espèce, le salaire statistique des ESS doit être adapté au- delà de ce que prévoit l’art. 26bis al. 3 RAI, il y a lieu recourir, en complément, à la jurisprudence appliquée jusqu’à présent par le Tribunal fédéral (consid. 10.6). Selon cette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L’étendue de l’abattement justifié dans un cas concret relève du pouvoir d’appréciation (ATF 132 V 393 consid. 3.3). Le 1er janvier 2024, la modification de l’art. 26bis al. 3 RAI du 18 octobre 2023 (RO 2023 635) est entrée en vigueur. Selon sa nouvelle teneur, l’art. 26bis al. 3 RAI prévoit désormais qu’une déduction de 10% est opérée sur la valeur statistique visée à l’al. 2. Si, du fait de l’invalidité, l’assuré ne peut travailler qu’avec une capacité fonctionnelle au sens de l’art. 49 al. 1bis, de 50% ou moins, une déduction de 20% est opérée. Aucune déduction supplémentaire n’est possible.</w:t>
      </w:r>
    </w:p>
    <w:p>
      <w:r>
        <w:rPr>
          <w:b/>
        </w:rPr>
        <w:t>E. 9.7</w:t>
      </w:r>
    </w:p>
    <w:p>
      <w:r>
        <w:t>En l’espèce, l’intimé a fixé le degré d’invalidité de l’assurée à 6.4% en 2024 sur la base du raisonnement et des calculs suivants : pour le revenu sans invalidité, il s’est référé au revenu de CHF 54'379.50 (extrapolé de CHF 43'503.60 pour un taux de 80%) que l’assurée aurait réalisé en 2024 si elle avait continué à exercer son activité de coiffeuse auprès de son employeur. S’agissant du revenu avec</w:t>
      </w:r>
    </w:p>
    <w:p>
      <w:r>
        <w:t>A/3797/2024 - 16/23 - invalidité, il ressortait du tableau TA1_tirage_skill_level (secteur privé), ligne « total » de l’ESS indiquait qu’en 2022, une femme pouvait réaliser un revenu de CHF 4'367.- dans une activité de niveau 1, ce qui représentait CHF 4'552.- par mois, respectivement CHF 54'624.- par année, vu la durée hebdomadaire normale du travail de 41.7 heures. En indexant ce montant à l’indice suisse nominal des salaires (ci-après : ISS) en 2023, il en résultait un revenu de CHF 55'573.-. En appliquant à ce dernier une déduction forfaitaire de 10%, le revenu brut avec invalidité se montait à CHF 50’015.-. En comparant ce dernier avec le revenu sans invalidité de CHF 54'380.- réalisable en 2024, la perte de gain s’élevait à CHF 4'365.-, ce qui représentait un taux d’invalidité de 8.03% pour une activité à 100% [(54'380 – 50'015) x 100 / 54'380 = 8.03%], respectivement 6.40% pour une activité à 80%. En l’absence d’empêchement dans les travaux habituels, représentant une part de 20%, le degré d’invalidité total s’élevait à 6.40%.</w:t>
      </w:r>
    </w:p>
    <w:p>
      <w:r>
        <w:rPr>
          <w:b/>
        </w:rPr>
        <w:t>E. 9.8</w:t>
      </w:r>
    </w:p>
    <w:p>
      <w:r>
        <w:t>La chambre de céans considère que le calcul effectué par l’intimé – qui n’est pas contesté par la recourante – ne prête pas le flanc à la critique, notamment en tant qu’il ne se fonde pas sur une enquête économique sur le ménage mais sur les conclusions du Dr H______ (ci-dessus : consid. 5.3 et 7) et qu’il accorde une déduction de 10% sur le revenu d’invalide.</w:t>
      </w:r>
    </w:p>
    <w:p>
      <w:r>
        <w:rPr>
          <w:b/>
        </w:rPr>
        <w:t>E. 9.8.1</w:t>
      </w:r>
    </w:p>
    <w:p>
      <w:r>
        <w:t>On rappellera cependant que contrairement à ce qui est le cas dans le calcul de l’intimé, les revenus avec et sans invalidité doivent être comparés au même moment (ci-dessus : consid. 9.4). Dans la mesure où le revenu sans invalidité pris en compte est celui de l’année 2024, le revenu avec invalidité doit également être déterminé par rapport à cette année. En l’absence d’ISS publié pour l’année 2024 au moment de la décision litigieuse – qui aurait permis de connaître l’évolution du revenu avec invalidité depuis 2023 –, il convient, au choix, de comparer les revenus selon leur montant en 2023 ou en 2024. Si la comparaison a lieu en 2024, il faut se fonder, pour le revenu avec invalidité, sur l’estimation trimestrielle des salaires nominaux, laquelle était de 1.5% le 15 octobre 2024, soit à la date de la décision litigieuse (estimation de l’OFS pour le 3e trimestre 2024). Dans la première hypothèse (année 2023), la comparaison des revenus avec invalidité (CHF 50'015.- ; soit CHF 55'573.- après réduction de 10%) et sans invalidité (CHF 42'931.20, correspondant à CHF 53'664.- pour un plein temps ; dossier AI, doc. 15) aboutirait à une perte de gain de CHF 3'649.- et à un taux d’invalidité de 6.8% pour une activité à 100% [(53'664 – 50'015) x 100 / 53'664 = 6.80%]. En l’absence d’empêchement dans les travaux habituels, le degré d’invalidité total s’élèverait à 5.44% (soit 80 x 6.8 / 100 + 20 x 0 /100 = 5.44, arrondi à 5% ; ATF 130 V 121 consid. 3.2). Dans la seconde hypothèse (année 2024), le revenu statistique de CHF 55’573.- en 2023 devrait d’abord être indexé de 1.5%, soit à CHF 56'407.60 avant de bénéficier de l’abattement forfaitaire de 10% le réduisant à CHF 50'767.-, ce qui correspondrait à une perte de gain de CHF 3'613.- et à un taux d’invalidité de 6.64% (pour une activité à 100%) après comparaison avec le revenu sans invalidité réalisable en 2024 [(54'380 – 50'767) x 100 / 54'380 =</w:t>
      </w:r>
    </w:p>
    <w:p>
      <w:r>
        <w:t>A/3797/2024 - 17/23 - 6.64%]. Compte tenu de l’absence d’empêchement dans les travaux habituels, le degré d’invalidité s’élèverait à 5.31%, arrondi à 5%.</w:t>
      </w:r>
    </w:p>
    <w:p>
      <w:r>
        <w:rPr>
          <w:b/>
        </w:rPr>
        <w:t>E. 9.8.2</w:t>
      </w:r>
    </w:p>
    <w:p>
      <w:r>
        <w:t>La recourante conclut néanmoins à l’octroi d’une rente fondée sur un degré d’invalidité de 100%. Il sied de constater qu’au début du délai d’attente d’une année (art. 28 al. 1 let. b et c LAI), soit le 26 décembre 2023, la recourante présentait certes une incapacité de travail totale dans toute activité, même adaptée. Cependant, en l’absence de rapport médical attestant que cette incapacité se serait maintenue pendant au moins une année, les conditions d’octroi d’une rente entière – même limitée dans le temps – ne sont pas réalisées. Étant donné que la recourante a recouvré, au contraire, une capacité de travail pleine et entière dans une activité adaptée dès le 27 mars 2024 et qu’elle ne rencontrait pas non plus d’empêchement dans ses travaux habituels, la perte de gain et les empêchements dans la sphère ménagère qui en résultent ne révèlent qu’un degré d’invalidité de 5% (6% selon l’intimé ; soit 6.4% arrondi à 6%). En tout état, qu’il soit de 5 ou de 6%, un tel taux d’invalidité est de toute manière trop faible pour donner droit à une rente – même partielle.</w:t>
      </w:r>
    </w:p>
    <w:p>
      <w:r>
        <w:rPr>
          <w:b/>
        </w:rPr>
        <w:t>E. 10</w:t>
      </w:r>
    </w:p>
    <w:p>
      <w:r>
        <w:t>février 2011 consid. 3.2). Dans un arrêt du 15 février 2013, le Tribunal fédéral a ainsi jugé que l’on pouvait attendre d’un assuré, présentant une capacité de travail entière (dans un environnement exempt de produits à base de résines Epoxy ainsi que de fluor et de ses composés) qu’il s’oriente seul sur le marché du travail, celui-ci offrant un éventail suffisamment large d’activités, dont seul un nombre limité et bien défini n’était pas adapté aux limitations précitées, de sorte que le droit à l’orientation professionnelle selon l’art. 15 LAI n’entrait pas en considération (arrêt du Tribunal fédéral 9C_236/2012 du 15 février 2013).</w:t>
      </w:r>
    </w:p>
    <w:p>
      <w:r>
        <w:rPr>
          <w:b/>
        </w:rPr>
        <w:t>E. 10.1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un minimum de connaissances. Il convient bien plutôt de se reporter aux circonstances du cas concret. L’assuré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t>A/3797/2024 - 18/23 -</w:t>
      </w:r>
    </w:p>
    <w:p>
      <w:r>
        <w:rPr>
          <w:b/>
        </w:rPr>
        <w:t>E. 10.2</w:t>
      </w:r>
    </w:p>
    <w:p>
      <w:r>
        <w:t>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w:t>
      </w:r>
    </w:p>
    <w:p>
      <w:r>
        <w:rPr>
          <w:b/>
        </w:rPr>
        <w:t>E. 10.3</w:t>
      </w:r>
    </w:p>
    <w:p>
      <w:r>
        <w:t>Selon l’art. 15 LAI, dans sa teneur en vigueur au 1er janvier 2022, l’assuré auquel son invalidité rend difficile le choix d’une profession a droit à l’orientation professionnelle et à une mesure préparatoire à l’entrée en formation (al. 1). L’assuré auquel son invalidité rend difficile l’exercice de son activité antérieure a droit à l’orientation professionnelle (al. 2). Sous la note marginale « orientation professionnelle », l’art. 4a RAI dispose qu’une orientation professionnelle au sens de l’art. 15 LAI peut se composer : d’entretiens de conseils, d’analyses et de tests diagnostiques réalisés par des professionnels (let. a) ; de mesures préparatoires à l’entrée en formation au sens de l’art. 15 al. 1 LAI (let. b) ; de mesures d’examen approfondi de professions possibles au sens de l’art. 15 al. 2 LAI (let. c) (al. 1). Sont considérées comme des mesures au sens de l’al. 1 let. b, les mesures proches du marché du travail se déroulant après l’école obligatoire, dans des entreprises du marché primaire du travail ou en institution et visant à déterminer les aptitudes et les envies de l’assuré en matière de formations et à initier celui-ci aux exigences du marché primaire du travail. Ces mesures sont limitées à douze mois (al. 2). Les objectifs et la durée des mesures visées aux al. 2 et 3 sont fixés individuellement en fonction des aptitudes de l’assuré. La mesure est interrompue en particulier : lorsque le but est atteint ou ne peut pas être atteint (let. a) ; lorsqu’une mesure de réadaptation plus appropriée s’impose (let. b) ; lorsque la poursuite de la mesure</w:t>
      </w:r>
    </w:p>
    <w:p>
      <w:r>
        <w:t>A/3797/2024 - 19/23 - ne peut, pour des raisons d’ordre médical, être raisonnablement exigée (let. c) (al. 4). Avec la révision entrée en vigueur le 1er janvier 2022 (développement continu de l’AI ; RO 2021 705), les prestations possibles dans le cadre de l’orientation professionnelle au sens de l’art. 15 LAI ont été complétées par une mesure préparatoire à l’entrée en formation. Selon la Circulaire sur les mesures de réadaptation professionnelle de l’AI (ci-après : CMRPr), les mesures préparatoires durant l’orientation professionnelle n’ont pas pour objet de combler des lacunes scolaires mais visent à vérifier dans la pratique les formations possibles, à tester l’aptitude de la personne assurée, et à l’accoutumer aux exigences du marché du travail afin de faciliter son entrée en formation. À cette fin, une convention d’objectifs est passée entre la personne assurée, l’office AI et le fournisseur de prestations, destinée à fixer des objectifs à atteindre par la personne assurée tant d’un point de vue qualitatif (tester les types de formations possibles dans un environnement de travail réel, etc.) que quantitatif (capacité de présence et de rendement permettant à la personne assurée de participer à des mesures d’ordre professionnel de l’AI, ou à des offres adéquates de formation professionnelle ou de l’assurance-chômage (ch. 1009-1014 CMRPr). En outre, les différents éléments de l’orientation professionnelle ont été énumérés dans le nouvel art. 4a RAI. Le droit à l’orientation professionnelle a pour objet une prestation en nature qui est fournie soit par l’office AI lui-même (art. 57 al. 1 let. f LAI), soit par un service spécialisé (art. 59 al. 3). L’orientation professionnelle a pour but de guider la personne assurée vers l’activité lucrative dans laquelle elle aura les plus grandes chances de succès compte tenu de ses dispositions et de ses aptitudes (RCC 1988 p. 191, 195 consid. 4a ; MEYER/ REICHMUTH, op. cit., n. 1-2 ad art. 15 LAI). L’orientation professionnelle diffère des autres mesures d’ordre professionnel (art. 16 ss LAI) par le fait que, dans le cas particulier, l’assuré n’a pas encore fait le choix d’une profession, bien qu’il soit capable, en soi, d’opérer un tel choix. L’invalidité au sens de l’art. 15 LAI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voir également l’arrêt du Tribunal fédéral I 154/76 du 22 novembre 1976 consid. 2, in RCC 1977 p. 203). L’octroi d’une orientation professionnelle suppose que l’assuré soit entravé, même de manière faible, dans sa recherche d’un emploi adéquat à la suite de problèmes de santé (arrêt du Tribunal fédéral I 11/99 du 15 octobre 1999 consid. 6). Sont en revanche exclus les handicaps insignifiants qui n’ont pas pour effet de provoquer un empêchement sérieux et qui, par conséquent, ne justifient pas l’intervention de l’assurance-</w:t>
      </w:r>
    </w:p>
    <w:p>
      <w:r>
        <w:t>A/3797/2024 - 20/23 - invalidité (ATF 114 V 29 consid. 1a ; arrêt du Tribunal fédéral 9C_534/2010 du</w:t>
      </w:r>
    </w:p>
    <w:p>
      <w:r>
        <w:rPr>
          <w:b/>
        </w:rPr>
        <w:t>E. 10.4</w:t>
      </w:r>
    </w:p>
    <w:p>
      <w:r>
        <w:t>Sous la note maginale « placement », l’art. 18 LAI dispose que l’assuré en incapacité de travail (art. 6 LPGA) et susceptible d’être réadapté a droit à un soutien pour rechercher un emploi approprié ou, s’il en a déjà un, pour le conserver (al. 1). L’office AI procède à un examen sommaire du cas et met en œuvre ces mesures sans délai si les conditions sont remplies (al. 2). L’art. 18 al. 1 LAI pose comme condition d’octroi une incapacité de travail au sens de l’art. 6 LPGA. Il ne s’agit pas seulement de sa première phrase, mais il est également fait référence à la deuxième : « En cas de longue durée, l’activité que l’on peut raisonnablement attendre de l’assuré dans une autre profession ou un autre domaine de tâches est également prise en compte ». En cas de pleine capacité de travail – qualitative et quantitative – dans une activité adaptée aux limitations fonctionnelles, il n’y a pas d’incapacité de travail au regard de l’art. 6, deuxième phrase, LPGA et, par conséquent, pas de droit au placement. Même après l’entrée en vigueur de la 5e révision de l’AI (au 1er janvier 2008, RO 2007 5147), un tel droit présuppose, en cas d’exigibilité totale d’activités légères, une restriction spécifique liée à la santé. Si l’absence de réadaptation professionnelle n’est pas due à des difficultés de recherche d’emploi liées à la santé, mais à des problèmes étrangers à l’invalidité, les conditions du placement par l’assurance- invalidité ne sont pas remplies (arrêt du Tribunal fédéral 8C_199/2023 du 30 août 2023 consid. 6.2 et les références). Il y a invalidité spécifique au placement au sens de l’art. 18 LAI lorsque le handicap entraîne des problèmes dans la recherche d’un emploi. C’est par exemple le cas lorsque la personne assurée se trouve dans l’impossibilité de mener un entretien d’embauche en raison de son mutisme ou de son manque de mobilité, ou lorsque les possibilités et les limites particulières de la personne assurée doivent être expliquées à l’employeur potentiel (p. ex. quelles activités peuvent être effectuées malgré le handicap visuel) afin que la personne handicapée ait une chance d’obtenir le poste souhaité. Il ne suffit pas que la personne assurée ait été licenciée de son poste de travail pour des raisons de santé (arrêt du Tribunal fédéral 9C_184/2022 du 6 février 2023 consid. 2.3 et les références).</w:t>
      </w:r>
    </w:p>
    <w:p>
      <w:r>
        <w:rPr>
          <w:b/>
        </w:rPr>
        <w:t>E. 10.5</w:t>
      </w:r>
    </w:p>
    <w:p>
      <w:r>
        <w:t>Attendu qu’en l’espèce, le seuil minimum fixé par la jurisprudence pour ouvrir droit à une mesure de reclassement (diminution de la capacité de gain de 20% environ ; ci-dessus : consid. 10.2) n’est pas atteint, la recourante ne présente</w:t>
      </w:r>
    </w:p>
    <w:p>
      <w:r>
        <w:t>A/3797/2024 - 21/23 - pas une perte de gain suffisante pour un reclassement. Partant, l’absence d’octroi d’une telle mesure par l’OAI est conforme au droit. Il convient encore d’examiner si la recourante peut éventuellement prétendre à une mesure d’orientation professionnelle ou à un placement. À cet égard, elle indique « n’avoir plus la possibilité de […] mettre à profit » son unique formation (CFC de coiffeuse) et que son expérience professionnelle limitée au domaine de la coiffure et à une autre activité inadaptée (femme de chambre entre 2007 et 2017) ne lui permettrait pas de se réadapter par elle-même compte tenu de son âge et de ses limitations. Il convient de préciser à titre liminaire que lorsqu’une absence de réadaptation professionnelle n’est pas due à des difficultés de recherches d’emploi elles-mêmes liées à l’état de santé mais à des problèmes étrangers à l’invalidité (p. ex. en raison de compétences linguistiques insuffisantes), les conditions pour des mesures de réadaptation ne sont pas remplies au regard de l’art. 8 al. 1 let. a LAI (arrêt du Tribunal fédéral 8C_485/2021 du 23 décembre 2021 consid. 5.4). Dans cette mesure, le fait que la recourante invoque le caractère limité de ses qualifications (CFC de coiffure) et de son expérience professionnelle n’est pas pertinent. Il en va éventuellement autrement du moyen tiré de la difficulté de retrouver un emploi adapté à l’état de santé. À cet égard, il est établi qu’en raison des limitations fonctionnelles retenues par le SMR en lien avec l’arthrose métacarpienne à la main droite (diminution de la force et de l’endurance dans les prises mono- et bimanuelles et de la pince pouce-index) la recourante ne peut plus exercer son activité antérieure de coiffeuse qu’à 50%, mais que dans toute activité respectant les limitations fonctionnelles précitées, sa capacité de travail est entière. Compte tenu des répercussions faibles voire inexistantes de telles limitations dans de très nombreuses professions, le fait que l’intimé ait attendu jusqu’au stade de la réponse au recours pour formuler des propositions d’orientation (activités simples de surveillance, de vérification et de contrôle, de même que l’utilisation et la surveillance de machines ou d’unités de production (semi-)automatiques, qui ne nécessitent pas l’utilisation des deux bras et des deux mains) apparaît néanmoins suffisant pour permettre à la recourante de s’orienter seule sur le marché du travail, quand bien même cette proposition a minima ne saurait être considérée comme une mesure d’orientation professionnelle. De manière plus générale en effet, dans la mesure où le marché équilibré du travail offre un éventail suffisamment large d’activités légères, dont un nombre significatif sont, à l’évidence, adaptées aux limitations de la recourante et accessibles sans aucune formation particulière, il n’existe guère d’obstacles qui empêcheraient l’intéressée d’exercer une activité adaptée à ses problèmes de santé. Dans ces conditions, l’octroi d’une mesure d’orientation professionnelle à la charge de l’assurance- invalidité ne se justifie pas (pour un cas et une appréciation similaire : les arrêts précités 8C_485/2021 consid. 5.3 et 9C_534/2010 consid. 4.3).</w:t>
      </w:r>
    </w:p>
    <w:p>
      <w:r>
        <w:t>A/3797/2024 - 22/23 - Quant à l’éventualité d’un placement au sens de l’art. 18 LAI, il sied de rappeler que la recourante possède une capacité de travail entière dans une activité adaptée. En outre, il ne ressort pas des pièces du dossier – pas plus qu’il n’est soutenu par la recourante sur la base de celles-ci – que les restrictions découlant de son état de santé devraient avoir des répercussions dans une telle activité. Elle se contente de mettre en exergue son absence de formation et d’expérience dans un domaine autre que la coiffure et l’hôtellerie (femme de chambre), sans qu’il soit établi, au degré de la vraisemblance prépondérante, que ce serait son état de santé qui l’entraverait dans ses démarches pour retrouver un emploi. Il ne ressort par ailleurs pas du dossier que la recourante aurait effectué de telles démarches depuis la survenance de son invalidité. Partant, une aide au placement doit lui être également refusée.</w:t>
      </w:r>
    </w:p>
    <w:p>
      <w:r>
        <w:rPr>
          <w:b/>
        </w:rPr>
        <w:t>E. 11</w:t>
      </w:r>
    </w:p>
    <w:p>
      <w:r>
        <w:t>Compte tenu de ce qui précède, le recours doit être rejeté.</w:t>
      </w:r>
    </w:p>
    <w:p>
      <w:r>
        <w:rPr>
          <w:b/>
        </w:rPr>
        <w:t>E. 12</w:t>
      </w:r>
    </w:p>
    <w:p>
      <w:r>
        <w:t>Un émolument de CHF 200.- sera mis à la charge du recourant, qui n’obtient pas gain de cause (art. 69 al. 1bis LAI).</w:t>
      </w:r>
    </w:p>
    <w:p>
      <w:r>
        <w:t>*****</w:t>
      </w:r>
    </w:p>
    <w:p>
      <w:r>
        <w:t>A/3797/2024 - 23/23 -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