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ATAS/544/2015 vom 8. Juli 2015</w:t>
      </w:r>
    </w:p>
    <w:p>
      <w:r>
        <w:t>GE Cour de justice, 2015-07-08, FR</w:t>
      </w:r>
    </w:p>
    <w:p>
      <w:r>
        <w:rPr>
          <w:b/>
        </w:rPr>
        <w:t xml:space="preserve">Quelle: </w:t>
      </w:r>
      <w:r>
        <w:t>https://mcp.opencaselaw.ch/entscheid/ge_gerichte_ATAS_544_2015</w:t>
      </w:r>
    </w:p>
    <w:p>
      <w:r>
        <w:t>FR: GE_GERICHTE ATAS/544/2015 du 8 juillet 2015</w:t>
      </w:r>
    </w:p>
    <w:p>
      <w:r>
        <w:t>IT: GE_GERICHTE ATAS/544/2015 del 8 luglio 2015</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281 al. 3 du Code de procédure civile du 19 décembre 2008 - CPC;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Lorsqu’un époux a reçu de son institution de prévoyance un versement anticipé au titre de l’encouragement à la propriété du logement et que les époux divorcent avant la survenance d’un cas de prévoyance, le versement anticipé est considéré comme une prestation de libre passage et est partagé conformément aux art. 122, 123 et 141 CC, et à l’art. 22 de la LFLP (cf. art. 30c al. 6 LPP). Cependant, à la différence de la prestation de sortie, le versement anticipé pour l’acquisition d’un logement conserve sa valeur nominale jusqu’au divorce. Il ne produit donc pas d’intérêts au sens de l’art. 22 al. 2 LFLP (cf. ATF 128 V 230).</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 Par conséquent, les intérêts</w:t>
      </w:r>
    </w:p>
    <w:p>
      <w:r>
        <w:t>A/3711/2013 7/8 dus au demandeur sur la somme de CHF 3'924.- existant au 7 janvier 1992 se montent à CHF 3'767.37.</w:t>
      </w:r>
    </w:p>
    <w:p>
      <w:r>
        <w:rPr>
          <w:b/>
        </w:rPr>
        <w:t>E. 5</w:t>
      </w:r>
    </w:p>
    <w:p>
      <w:r>
        <w:t>En l’espèce, le juge de première instance a ordonné le partage par moitié des prestations de sortie acquises durant le mariage par les demandeurs. Les dates pertinentes sont, d’une part, celle du mariage, le 7 janvier 1992, d’autre part le 2 novembre 2013, date à laquelle le jugement de divorce est devenu exécutoire.</w:t>
      </w:r>
    </w:p>
    <w:p>
      <w:r>
        <w:rPr>
          <w:b/>
        </w:rPr>
        <w:t>E. 6</w:t>
      </w:r>
    </w:p>
    <w:p>
      <w:r>
        <w:t>Selon les documents produits dans le cadre de la présente procédure, les demandeurs ont chacun prélevé la somme de CHF 50'000.- auprès de leur caisse de prévoyance pour l’acquisition de leur logement, la demanderesse en date du 1er juillet 2001 et le demandeur en date du 30 avril 2001. Ce dernier s’oppose toutefois à la prise en compte du montant de CHF 50'000.- pour le partage de ses avoirs de prévoyance, alléguant que son ex-épouse a largement récupéré cette somme en rachetant sa part de co-propriété pour la modique somme de CHF 1'418.10. Le demandeur conclut à ce que la chambre de céans en tienne compte en équité, cas échéant en application de l’art. 123 al. 2 CO, pour ne pas prononcer un partage qui serait injuste. La chambre de céans n’est toutefois pas compétente pour procéder au partage des avoirs de prévoyance en équité. Elle ne doit qu’exécuter le partage conformément au jugement de divorce et, dans ce cadre, elle se doit d’appliquer les dispositions légales en matière de partage des avoirs de prévoyance après divorce qui imposent de tenir compte du versement anticipé pour la propriété du logement. Les arguments du demandeur sont ainsi sans pertinence dans le cadre de la présente procédure de partage. Par conséquent, la prestation acquise pendant le mariage par le demandeur est de CHF 122’620.05 tandis que celle acquise par la demanderesse est de CHF 341'473.95, les intérêts ayant déjà été calculés par les institutions de prévoyance défenderesses. Ainsi le demandeur doit à son ex-épouse le montant de CHF 61'310.03 (122’620.05: 2) et celle-ci doit à celui-là le montant de CHF 170'736.97 (341'473.95 : 2), de sorte que c’est la demanderesse qui doit au demandeur le montant de CHF 109'426.95.</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w:t>
      </w:r>
    </w:p>
    <w:p>
      <w:r>
        <w:t>A/3711/2013 8/8</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