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ATAS/544/2013 vom 29. Mai 2013</w:t>
      </w:r>
    </w:p>
    <w:p>
      <w:r>
        <w:t>GE Cour de justice, 2013-05-29, FR</w:t>
      </w:r>
    </w:p>
    <w:p>
      <w:r>
        <w:rPr>
          <w:b/>
        </w:rPr>
        <w:t xml:space="preserve">Quelle: </w:t>
      </w:r>
      <w:r>
        <w:t>https://mcp.opencaselaw.ch/entscheid/ge_gerichte_ATAS_544_2013</w:t>
      </w:r>
    </w:p>
    <w:p>
      <w:r>
        <w:t>FR: GE_GERICHTE ATAS/544/2013 du 29 mai 2013</w:t>
      </w:r>
    </w:p>
    <w:p>
      <w:r>
        <w:t>IT: GE_GERICHTE ATAS/544/2013 del 29 maggio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Interjetés dans les délai et forme prescrits par la loi, les recours sont recevables (art. 56 ss LPGA).</w:t>
      </w:r>
    </w:p>
    <w:p>
      <w:r>
        <w:rPr>
          <w:b/>
        </w:rPr>
        <w:t>E. 3</w:t>
      </w:r>
    </w:p>
    <w:p>
      <w:r>
        <w:t>La recourante se plaint en premier lieu de la violation du droit d'être entendu. a) La jurisprudence, rendue sous l’empire de l’art. 4 aCst. et qui s’applique également à l’art. 29 al. 2 Cst. (ATF 129 II 504 consid. 2.2),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1a, 375 consid. 3b et les références). L’art. 49 al. 3 LPGA prescrit par ailleurs que l’autorité se doit au moins de mentionner brièvement les motifs qui l’ont guidée et sur lesquels elle a fondé sa</w:t>
      </w:r>
    </w:p>
    <w:p>
      <w:r>
        <w:t>A/306/2013 - 8/14 - décision, de manière à ce que l’intéressé puisse se rendre compte de la portée de celle-ci et l’attaquer en connaissance de cause. En revanche, l’autorité n’a pas l’obligation d’exposer et de discuter tous les faits, moyens de preuve et griefs invoqués par les parties ; elle peut se limiter à ceux qui, sans arbitraire, lui apparaissent pertinents (cf. ATF 126 I 102 consid. 2b ; ATFA non publié du 3 octobre 2005, I 585/04 consid. 2.2). 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126 V 132 consid. 2b et les références). b) En l'occurrence, il convient toutefois de constater que l'intimé n'a pas violé le droit d'être entendu, dès lors qu'il a répondu, dans la décision querellée, aux griefs que la recourante a fait valoir dans son opposition au projet de décision. Il a ainsi motivé le refus de modifier le statut mixte retenu par le fait que la recourante avait réduit son temps de travail pour s'occuper de ses parents, ce qui entrait dans les travaux habituels. Par ailleurs, il a jugé invraisemblable que celle-ci aurait augmenté son temps de travail après la naissance de sa fille, d'autant plus que l'enfant est handicapée. Concernant la capacité de travail dans une activité lucrative, il a estimé qu'il n'y avait pas lieu de s'écarter de l'expertise psychiatrique, celle-ci jouissant d'une pleine valeur probante. Enfin, il a également expliqué que l'admission d'un empêchement total pour la garde des enfants n'aurait pas permis d'octroyer une rente entière, le degré d'invalidité restant inférieur à 70% même dans cette hypothèse.</w:t>
      </w:r>
    </w:p>
    <w:p>
      <w:r>
        <w:rPr>
          <w:b/>
        </w:rPr>
        <w:t>E. 4</w:t>
      </w:r>
    </w:p>
    <w:p>
      <w:r>
        <w:t>Est litigieuse en l'occurrence la question du degré d'invalidité de la recourante.</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Les assurés majeurs qui n’exerçaient pas d’activité lucrative avant d’être atteints dans leur santé physique, mentale ou psychique et dont il ne peut être exigé qu’ils en</w:t>
      </w:r>
    </w:p>
    <w:p>
      <w:r>
        <w:t>A/306/2013 - 9/14 - exercent une sont réputés invalides si l’atteinte les empêche d’accomplir leurs travaux habituels, aux termes de l'art. 8 al. 3 LPGA.</w:t>
      </w:r>
    </w:p>
    <w:p>
      <w:r>
        <w:rPr>
          <w:b/>
        </w:rPr>
        <w:t>E. 6</w:t>
      </w:r>
    </w:p>
    <w:p>
      <w:r>
        <w:t>Selon l’art. 28 al. 2 LAI, l’assuré a droit à une rente entière s’il est invalide à 70% au moins, à un trois-quarts de rente s'il est invalide à 60% au moins, à une demi- rente s’il est invalide à 50% au moins, ou à un quart de rente s’il est invalide à 40% au moins.</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8</w:t>
      </w:r>
    </w:p>
    <w:p>
      <w:r>
        <w:t>En l'espèce, la recourante conteste, d'une part, le statut mixte retenu et, d'autre part, le taux de capacité de travail dans l'activité lucrative et dans le ménage pris en compte par l'intimé. Toutefois, au vu de ce qui suit, ces questions peuvent rester ouvertes.</w:t>
      </w:r>
    </w:p>
    <w:p>
      <w:r>
        <w:rPr>
          <w:b/>
        </w:rPr>
        <w:t>E. 9</w:t>
      </w:r>
    </w:p>
    <w:p>
      <w:r>
        <w:t>Lorsqu'il convient d'évaluer l'invalidité d'un assuré d'après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w:t>
      </w:r>
    </w:p>
    <w:p>
      <w:r>
        <w:t>A/306/2013 - 10/14 -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w:t>
      </w:r>
    </w:p>
    <w:p>
      <w:r>
        <w:rPr>
          <w:b/>
        </w:rPr>
        <w:t>E. 10</w:t>
      </w:r>
    </w:p>
    <w:p>
      <w:r>
        <w:t>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w:t>
      </w:r>
    </w:p>
    <w:p>
      <w:r>
        <w:rPr>
          <w:b/>
        </w:rPr>
        <w:t>E. 11</w:t>
      </w:r>
    </w:p>
    <w:p>
      <w:r>
        <w:t>a) Pour la détermination du taux d'invalidité dans la sphère professionnelle,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b)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w:t>
      </w:r>
    </w:p>
    <w:p>
      <w:r>
        <w:t>A/306/2013 - 11/14 -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suisse sur la structure des salaires (ESS;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w:t>
      </w:r>
    </w:p>
    <w:p>
      <w:r>
        <w:t>A/306/2013 - 12/14 - maximum de 25% sur le salaire statistique permet de tenir compte des différents éléments qui peuvent influencer le revenu d'une activité lucrative (ATF 126 V 75 consid. 5b/aa-cc).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w:t>
      </w:r>
    </w:p>
    <w:p>
      <w:r>
        <w:rPr>
          <w:b/>
        </w:rPr>
        <w:t>E. 12</w:t>
      </w:r>
    </w:p>
    <w:p>
      <w:r>
        <w:t>En l'occurrence, il n'est pas contesté que la recourante a perdu son emploi et qu'elle n'a pas repris une activité professionnelle. Partant, selon la jurisprudence en la matière, il y a lieu de se fonder sur les salaires statistiques pour établir le revenu avec invalidité. Quant au salaire sans invalidité, il était de 125'492 fr. en 2010, ce qui n'est pas non plus contesté. L'intimé ne peut ainsi pas être suivi en ce qu'il fait valoir que la comparaison des revenus est en l'espèce superflue, le salaire avec et sans invalidité se confondant. Cela n'aurait pu être admis que s'il n'y avait pas lieu de se fonder sur le dernier salaire réalisé pour la détermination du salaire sans invalidité, par exemple si la recourante était au chômage au moment de la survenance de l'invalidité ou si son emploi précédent n'existait plus. C'est seulement dans cette hypothèse que le salaire avec et sans invalidité aurait dû être déterminé sur la base des salaires statistiques et que le degré de capacité de travail aurait pu être éventuellement identique au degré d'invalidité, sous réserve de la question de la réduction du salaire d'invalide pour tenir compte des handicaps, du taux d'activité partiel, de l'âge etc., éléments que l'intimé a également omis d'examiner. Il convient également de relever qu'il est fort douteux qu'il existe à l'Etat de Genève des postes de juristes à 30 %. De surcroît, un poste à un taux d'activité si réduit ne comporterait certainement pas les mêmes responsabilités que le poste</w:t>
      </w:r>
    </w:p>
    <w:p>
      <w:r>
        <w:t>A/306/2013 - 13/14 - précédemment occupé par la recourante, de sorte qu'il serait assurément moins bien rémunéré. Pour le revenu d'invalide, le salaire de référence est en l'espèce celui auquel peuvent prétendre les femmes effectuant les travaux les plus exigeants et les tâches les plus difficiles ou un travail indépendant et très qualifié (niveaux de qualification 1 et 2) dans les secteurs privés et les secteurs publics (Enquête suisse sur la structure des salaires 2010, TA 3), à savoir 80'760 fr. par an. Comme les salaires bruts standardisés tiennent compte d'un horaire de travail de 40 heures, soit d'une durée hebdomadaire inférieure à la moyenne usuelle dans les entreprises en 2010 (41,6 heures; La Vie économique, 4-2013, p. 90, B 9.2), ce montant doit être porté à 83'990 fr. 40. Au vu du taux d'activité très restreint de 30 %, ainsi que des limitations fonctionnelles considérables pour la fonction de juriste, il se justifie de procéder à un abattement de ce salaire statistique à hauteur de 15 %. Il en résulte un revenu de 71'391 fr. 85. Pour un taux de capacité de travail de 30 %, le salaire d'invalide s'établit ainsi à 21'417 fr. 55. Après comparaison de ce montant au salaire sans invalidité de 125'492 fr. en 2010, il appert que la perte de gain est de 83 %, en chiffres ronds, dans la sphère lucrative. La recourante n'ayant travaillé qu'à 90 %, en admettant une évaluation mixte, le taux d'invalidité s'élève à 74,6 %, dans l'hypothèse où la capacité de travail dans le ménage est totale. Un tel degré d'invalidité ouvre le droit à une rente d'invalidité complète, de sorte qu'il s'avère superflu d'examiner si la capacité de travail dans le ménage est réduite et si cette capacité est inférieure à 30% dans la sphère lucrative.</w:t>
      </w:r>
    </w:p>
    <w:p>
      <w:r>
        <w:rPr>
          <w:b/>
        </w:rPr>
        <w:t>E. 13</w:t>
      </w:r>
    </w:p>
    <w:p>
      <w:r>
        <w:t>La date du début du droit à la rente d'invalidité n'est pas contestée. Celle-ci prendra dès lors effet à partir du 1er octobre 2010.</w:t>
      </w:r>
    </w:p>
    <w:p>
      <w:r>
        <w:rPr>
          <w:b/>
        </w:rPr>
        <w:t>E. 14</w:t>
      </w:r>
    </w:p>
    <w:p>
      <w:r>
        <w:t>Au vu de ce qui précède, le recours sera admis, la décision annulée et la recourante mise au bénéfice d'une rente d'invalidité entière à compter du 1er octobre 2010.</w:t>
      </w:r>
    </w:p>
    <w:p>
      <w:r>
        <w:rPr>
          <w:b/>
        </w:rPr>
        <w:t>E. 15</w:t>
      </w:r>
    </w:p>
    <w:p>
      <w:r>
        <w:t>La recourante obtenant gain de cause, une indemnité de 2'500 fr. lui est octroyée à titre de dépens.</w:t>
      </w:r>
    </w:p>
    <w:p>
      <w:r>
        <w:rPr>
          <w:b/>
        </w:rPr>
        <w:t>E. 16</w:t>
      </w:r>
    </w:p>
    <w:p>
      <w:r>
        <w:t>Dans la mesure où l'intimé succombe, un émolument de justice, fixé à 200 fr., est mis à sa charge.</w:t>
      </w:r>
    </w:p>
    <w:p>
      <w:r>
        <w:t>A/306/2013 - 14/14 -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