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ATAS/543/2019 vom 19. Juni 2019</w:t>
      </w:r>
    </w:p>
    <w:p>
      <w:r>
        <w:t>GE Cour de justice, 2019-06-19, FR</w:t>
      </w:r>
    </w:p>
    <w:p>
      <w:r>
        <w:rPr>
          <w:b/>
        </w:rPr>
        <w:t xml:space="preserve">Quelle: </w:t>
      </w:r>
      <w:r>
        <w:t>https://mcp.opencaselaw.ch/entscheid/ge_gerichte_ATAS_543_2019</w:t>
      </w:r>
    </w:p>
    <w:p>
      <w:r>
        <w:t>FR: GE_GERICHTE ATAS/543/2019 du 19 juin 2019</w:t>
      </w:r>
    </w:p>
    <w:p>
      <w:r>
        <w:t>IT: GE_GERICHTE ATAS/543/2019 del 19 giugno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prestations complémentaires fédérales sont régies par la loi fédérale sur les prestations complémentaires à l’AVS et à l’AI du 6 octobre 2006 (LPC - RS 831.30) et la loi genevoise du 14 octobre 1965 sur les prestations fédérales complémentaires à l’assurance-vieillesse et survivants et à l’assurance-invalidité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 Les dispositions de la LPGA, en vigueur depuis le 1er janvier 2003, s’appliquent aux prestations complémentaires fédérales à moins que la LPC n'y déroge expressément (art. 1 al. 1 LPC). Il en va de même en matière de prestations complémentaires cantonales (cf. art. 1A let. b LPCC). La LPGA ne s’applique en revanche pas en matière de subside d’assurance-maladie [art. 1 al. 2 let. c LAMal]).</w:t>
      </w:r>
    </w:p>
    <w:p>
      <w:r>
        <w:t>A/103/2017 - 6/10 -</w:t>
      </w:r>
    </w:p>
    <w:p>
      <w:r>
        <w:rPr>
          <w:b/>
        </w:rPr>
        <w:t>E. 3</w:t>
      </w:r>
    </w:p>
    <w:p>
      <w:r>
        <w:t>Interjeté dans la forme et le délai prescrits, le recours est recevable (art. 56 et 60LPGA; art. 43 LPCC; art. 89B de la loi sur la procédure administrative du 12 septembre 1985 (LPA-GE - E 5 10).</w:t>
      </w:r>
    </w:p>
    <w:p>
      <w:r>
        <w:rPr>
          <w:b/>
        </w:rPr>
        <w:t>E. 4</w:t>
      </w:r>
    </w:p>
    <w:p>
      <w:r>
        <w:t>Dans la mesure où l’intimé a accepté, en fin de procédure, de considérer que le fils de la recourante ne cohabitait pas avec ses parents du 1er janvier 2012 au 31 mars 2016 et de rectifier sa décision en conséquence, reste seulement litigieuse la demande de restitution d’un trop-perçu pour la période du 1er janvier 2012 au 31 mars 2016, en tant qu’elle est fondée sur la prise en compte des versements exceptionnels de la caisse de prévoyance de feu le recourant de 2012 à 2016.</w:t>
      </w:r>
    </w:p>
    <w:p>
      <w:r>
        <w:rPr>
          <w:b/>
        </w:rPr>
        <w:t>E. 5</w:t>
      </w:r>
    </w:p>
    <w:p>
      <w:r>
        <w:t>Selon l'art. 9 al. 1 LPC, le montant de la prestation complémentaire annuelle correspond à la part des dépenses reconnues qui excède les revenus déterminants. Selon l’art. 11 al. 1 LPC, les revenus déterminants comprennent, notamment : - le produit de la fortune mobilière et immobilière (let. b) ; -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(let. b phr. 1) ; - les rentes, pensions et autres prestations périodiques, y compris les rentes de l'AVS et de l'AI (let. d). Les revenus déterminants selon l’art. 11 al. 1 let. d LPC comprennent les rentes, pensions et autres prestations périodiques, y compris les rentes de l’AVS et l’AI. Il s’agit de rentes et de pensions périodiques au sens large qui comprennent, outres les rentes des assurances sociales, les rentes des caisses de pension de droit public et de droit privé, celles qui sont versées par des assurances ainsi que les prestations volontaires des employeurs et les rentes au sens du droit civil (Michel VALTERIO, Commentaire de la loi fédérale sur les prestations complémentaires à l’AVS et à l’AI, 2015, n. 70 ss ad art. 11). Selon l’art. 13 de l’ordonnance sur le libre passage dans la prévoyance professionnelle vieillesse, survivants et invalidité du 3 octobre 1994 (OLP - RS 831.425), l'étendue des prestations en cas de vieillesse, de décès ou d'invalidité ressort du contrat ou du règlement (al. 1). Les prestations sont versées conformément au contrat ou au règlement sous la forme d'une rente ou d'un capital. Le paiement en espèces (art. 5 LFLP) ainsi que le prêt anticipé (art. 30c LPP et art. 331e CO) sont également considérés comme des prestations (al. 2). Selon l’art. 23 OPC-AVS/AI, sont pris en compte en règle générale pour le calcul de la prestation complémentaire annuelle,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w:t>
      </w:r>
    </w:p>
    <w:p>
      <w:r>
        <w:t>A/103/2017 - 7/10 -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[(art. 11, al. 1, let. d, LPC) ; al. 3].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S’agissant des prestations complémentaires cantonales, l’art. 5 let. c LPCC prévoit que le revenu déterminant est calculé conformément aux règles fixées dans la loi fédérale et ses dispositions d'exécution, moyennant, notamment, l’adaptation suivante : En dérogation à l'art. 11 al. 1 let. c de la loi fédérale, la part de la fortune nette prise en compte dans le calcul du revenu déterminant est de un huitième, respectivement de un cinquième pour les bénéficiaires de rentes de vieillesse, et ce après déduction des franchises prévues par cette disposition (ch. 1), du montant des indemnités en capital obtenues à titre de dommages et intérêts en réparation d'un préjudice corporel, y compris l'indemnisation éventuelle du tort moral (ch. 2).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Selon l’art. 9 LPCC, sont déterminantes pour la fixation de la prestation les rentes, pensions et autres prestations périodiques de l’année civile en cours (al. 1 let. a). En cas de modification importante des ressources ou de la fortune du bénéficiaire, la prestation est fixée conformément à la situation nouvelle (al. 3).</w:t>
      </w:r>
    </w:p>
    <w:p>
      <w:r>
        <w:rPr>
          <w:b/>
        </w:rPr>
        <w:t>E. 6</w:t>
      </w:r>
    </w:p>
    <w:p>
      <w:r>
        <w:t>S'agissant des prestations complémentaires fédérales,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que soient remplies les conditions d'une reconsidération ou d'une révision procédurale de la décision, formelle ou non, par laquelle les prestations en cause ont été allouées (arrêt du Tribunal fédéral 8C_512/2008 du 4 janvier 2009 consid. 4). La jurisprudence constante distingue la</w:t>
      </w:r>
    </w:p>
    <w:p>
      <w:r>
        <w:t>A/103/2017 - 8/10 -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rPr>
          <w:b/>
        </w:rPr>
        <w:t>E. 7</w:t>
      </w:r>
    </w:p>
    <w:p>
      <w:r>
        <w:t>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8</w:t>
      </w:r>
    </w:p>
    <w:p>
      <w:r>
        <w:t>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w:t>
      </w:r>
    </w:p>
    <w:p>
      <w:r>
        <w:rPr>
          <w:b/>
        </w:rPr>
        <w:t>E. 9</w:t>
      </w:r>
    </w:p>
    <w:p>
      <w:r>
        <w:t>En l’espèce, les versements extraordinaires de la caisse de prévoyance de l’intéressé font partie de ses prestations de 2ème pilier et ont un caractère périodique, puisqu’ils sont versés chaque année, quand bien même leur montant varie. Ils sont inclus dans le montant des rentes de 2ème pilier selon les avis de taxation de l’AFC. C’est ainsi à juste titre que l’intimé en a tenu compte comme élément de revenu et non de fortune. L’intéressé ne pouvait certes pas annoncer à l’avance à l’intimé le</w:t>
      </w:r>
    </w:p>
    <w:p>
      <w:r>
        <w:t>A/103/2017 - 9/10 - montant exact qu’il allait recevoir l’année suivante de sa caisse de prévoyance, mais il pouvait et devait, après l’avoir reçu, en informer le SPC. Il ne suffisait pas à l’intéressé de déclarer à l’AFC l’ensemble des montants versés par sa caisse de pension. En effet, il avait été averti à de nombreuses reprises par l’intimé de son obligation de tenir celui-ci informé de tout changement relatif à sa situation financière. Il en résulte que l’intimé était fondé à procéder à un nouveau calcul des prestations du recourant en tenant compte des montants qui lui avaient été versés annuellement au titre de 2ème pilier et de réclamer le montant trop-perçu résultant de ses calculs. L’intimé a reçu du recourant les avis de taxation de celui-ci pour les années 2010 à 2014 le 17 mars 2016. En lui réclamant la restitution du trop-perçu le 30 mars suivant, l’intimé a agi dans le délai de péremption d’une année. En faisant porter ses nouveaux calculs sur la période du 1er janvier 2012 au 31 mars 2016, il a respecté le délai de cinq ans de l’art. 25 al. 2 phr. 1 LPGA. La demande en restitution de l’intimé est ainsi justifiée, en tant qu’elle est fondée sur la prise en compte des versements exceptionnels de la caisse de prévoyance de feu le recourant de 2012 à 2016.</w:t>
      </w:r>
    </w:p>
    <w:p>
      <w:r>
        <w:rPr>
          <w:b/>
        </w:rPr>
        <w:t>E. 10</w:t>
      </w:r>
    </w:p>
    <w:p>
      <w:r>
        <w:t>Le recours doit ainsi être rejeté sur le point encore litigieux.</w:t>
      </w:r>
    </w:p>
    <w:p>
      <w:r>
        <w:rPr>
          <w:b/>
        </w:rPr>
        <w:t>E. 11</w:t>
      </w:r>
    </w:p>
    <w:p>
      <w:r>
        <w:t>La recourante a toutefois obtenu partiellement gain de cause, dans la mesure où l’intimé a accepté de considérer, en fin de procédure, que le fils du recourant ne cohabitait pas avec lui du 1er janvier 2012 au 31 mars 2016 et de rendre une nouvelle décision en conséquence. La recourante est invitée à transmettre à l’intimé les avis de taxation de feu son époux pour les années 2015 à 2016 afin que l’intimé puisse en tenir compte dans ses nouveaux calculs.</w:t>
      </w:r>
    </w:p>
    <w:p>
      <w:r>
        <w:rPr>
          <w:b/>
        </w:rPr>
        <w:t>E. 12</w:t>
      </w:r>
    </w:p>
    <w:p>
      <w:r>
        <w:t>Feu le recourant ayant été assisté d’un conseil, il se justifie d’octroyer des dépens à la recourante, qui seront fixés à CHF 1'000.- (art. 61 let. g LPGA).</w:t>
      </w:r>
    </w:p>
    <w:p>
      <w:r>
        <w:rPr>
          <w:b/>
        </w:rPr>
        <w:t>E. 13</w:t>
      </w:r>
    </w:p>
    <w:p>
      <w:r>
        <w:t>La procédure est gratuite.</w:t>
      </w:r>
    </w:p>
    <w:p>
      <w:r>
        <w:t>A/103/2017 - 10/10 -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