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ATAS/543/2018 vom 18. Juni 2018</w:t>
      </w:r>
    </w:p>
    <w:p>
      <w:r>
        <w:t>GE Cour de justice, 2018-06-18, FR</w:t>
      </w:r>
    </w:p>
    <w:p>
      <w:r>
        <w:rPr>
          <w:b/>
        </w:rPr>
        <w:t xml:space="preserve">Quelle: </w:t>
      </w:r>
      <w:r>
        <w:t>https://mcp.opencaselaw.ch/entscheid/ge_gerichte_ATAS_543_2018</w:t>
      </w:r>
    </w:p>
    <w:p>
      <w:r>
        <w:t>FR: GE_GERICHTE ATAS/543/2018 du 18 juin 2018</w:t>
      </w:r>
    </w:p>
    <w:p>
      <w:r>
        <w:t>IT: GE_GERICHTE ATAS/543/2018 del 18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A/3700/2016 - 17/27 -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de la recourante à une rente d’invalidité, singulièrement sur la question de savoir si son état de santé s’est aggravé depuis la dernière décision de l’intimé du 9 juillet 2009 lui refusant tout droit à des prestations, entrée en force.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Selon l’art. 28 al. 2 LAI, l’assuré a droit à une rente entière s’il est invalide à 70 % au moins, à un trois-quarts de rente s'il est invalide à 60 % au moins, à une demi- 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a. Selon l’art. 87 al. 1 let b, al. 2 et 3 RAI, la révision a lieu d’office lorsque des organes de l'assurance ont connaissance de faits ou ordonnent des mesures qui</w:t>
      </w:r>
    </w:p>
    <w:p>
      <w:r>
        <w:t>A/3700/2016 - 18/27 - peuvent entraîner une modification importante du taux d'invalidité, du degré d'impotence ou encore du besoin de soins ou du besoin d'aide découlant de l'invalidité (al. 1 let. b).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Lorsque l'administration entre en matière sur une nouvelle demande (art. 87 al. 3 RAI),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9C_57/2016 du 29 juin 2016).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t>A/3700/2016 - 19/27 -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c.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A/3700/2016 - 20/27 -</w:t>
      </w:r>
    </w:p>
    <w:p>
      <w:r>
        <w:rPr>
          <w:b/>
        </w:rPr>
        <w:t>E. 9</w:t>
      </w:r>
    </w:p>
    <w:p>
      <w:r>
        <w:t>a. À l’ATF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Les expertises mises en œuvre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p. 309; 137 V 210 consid. 6 p. 266 ; arrêt du Tribunal fédéral 9C_797/2017 du 22 mars 2018).</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A/3700/2016 - 21/27 -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octobre 2017 qu’au vu des contradictions très importantes existant entre l’expertise du Dr L______ et les avis des Drs G_____ (avis des 18 mars 2013, 29 avril 2015, 27 mai 2015, 9 novembre 2015 et 11 novembre 2016) et J______ (avis des 17 juillet 2013, 21 novembre 2013, 16 juillet 2015, 3 novembre 2016 et</w:t>
      </w:r>
    </w:p>
    <w:p>
      <w:r>
        <w:rPr>
          <w:b/>
        </w:rPr>
        <w:t>E. 17</w:t>
      </w:r>
    </w:p>
    <w:p>
      <w:r>
        <w:t>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w:t>
      </w:r>
    </w:p>
    <w:p>
      <w:r>
        <w:t>A/3700/2016 - 26/27 - (ATF 139 V 496 précité consid. 4.4; arrêt du Tribunal fédéral 8C_312/2016 du 13 mars 2017 consid. 6.3). b. En l’occurrence, vu l’absence totale de valeur probante de l’expertise du Dr L______, il convient de mettre à la charge de l’intimé les frais de l’expertise judiciaire de CHF 14'127.05, soit CHF 12'000 (expertise du Dr O______) + CHF 1'832.55 (expertise de M. P______) + CHF 294.50 (coûts complémentaires expertise du Dr O______), laquelle s’est révélée indispensable à l’instruction du dossier médical de la recourante.</w:t>
      </w:r>
    </w:p>
    <w:p>
      <w:r>
        <w:t>A/3700/2016 - 27/27 -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