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ATAS/543/2014 vom 29. April 2014</w:t>
      </w:r>
    </w:p>
    <w:p>
      <w:r>
        <w:t>GE Cour de justice, 2014-04-29, FR</w:t>
      </w:r>
    </w:p>
    <w:p>
      <w:r>
        <w:rPr>
          <w:b/>
        </w:rPr>
        <w:t xml:space="preserve">Quelle: </w:t>
      </w:r>
      <w:r>
        <w:t>https://mcp.opencaselaw.ch/entscheid/ge_gerichte_ATAS_543_2014</w:t>
      </w:r>
    </w:p>
    <w:p>
      <w:r>
        <w:t>FR: GE_GERICHTE ATAS/543/2014 du 29 avril 2014</w:t>
      </w:r>
    </w:p>
    <w:p>
      <w:r>
        <w:t>IT: GE_GERICHTE ATAS/543/2014 del 29 aprile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présent recours est recevable (art. 60 LPGA).</w:t>
      </w:r>
    </w:p>
    <w:p>
      <w:r>
        <w:rPr>
          <w:b/>
        </w:rPr>
        <w:t>E. 4</w:t>
      </w:r>
    </w:p>
    <w:p>
      <w:r>
        <w:t>Le litige porte sur la créance de l'assurance contre l'assuré en paiement de CHF 1'128,80 correspondant aux primes de mars à juin 2013, avec intérêts à 5% dès le 30 avril 2013, ainsi que 100.- de frais administratifs, selon la poursuite 2_____ .</w:t>
      </w:r>
    </w:p>
    <w:p>
      <w:r>
        <w:rPr>
          <w:b/>
        </w:rPr>
        <w:t>E. 5</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Parallèlement,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w:t>
      </w:r>
    </w:p>
    <w:p>
      <w:r>
        <w:t>A/365/2014 - 5/7 - doit faire valoir le bien-fondé de sa prétention par la voie de la procédure administrative, conformément à l'art. 79 LP (ATF 131 V 147).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Les assureurs doivent ainsi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L'assureur maladie peut réclamer le paiement dans une mesure appropriée des frais de sommation et des frais supplémentaires causés par le retard de l'assuré (art. 105b al. 3 OAMal; ATF 125 V 276). L’art. 5.5 des Conditions d’assurance prévoit que les frais résultant du retard dans l’acquittement des primes et participations et coûts, tels que les frais de rappel, d’encaissement, sont à la charge de la personne assurée. L'art. 105a OAmal précise que le taux d’intérêt moratoire pour les primes échues selon l’art. 26 LPGA s’élève à 5% par année.</w:t>
      </w:r>
    </w:p>
    <w:p>
      <w:r>
        <w:rPr>
          <w:b/>
        </w:rPr>
        <w:t>E. 6</w:t>
      </w:r>
    </w:p>
    <w:p>
      <w:r>
        <w:t>En l'espèce, il est établi par pièces que l'assuré est débiteur des primes de mars à juin 2013 pour un montant de CHF 1'125,80. Au surplus, la perception de frais administratifs à hauteur de CHF 100.- et la réclamation des intérêts de retard sont conformes à la législation. D’ailleurs, le recourant ne le conteste pas. Il fait valoir, sans le prouver, ni même le rendre vraisemblable, qu’il aurait déjà payé tout ou</w:t>
      </w:r>
    </w:p>
    <w:p>
      <w:r>
        <w:t>A/365/2014 - 6/7 - partie des primes réclamées. L’assuré ne produit aucune preuve de paiement à cet égard et il ressort de l’état de son compte auprès de l’assurance qu’il n’a pas payé les primes de mars à juin 2013. Les quelques versements effectués depuis février 2013 ont été attribués à des décomptes de prestations et les montants versés ne correspondent aucunement au montant des primes réclamées. L’assuré est entièrement et seul débiteur des primes, puisqu’il n’a pas droit à un subside du SAM. A cet égard, si le montant de ses impôts semble en effet le placer dans la catégorie des assurés de condition modeste, les décisions du SAM concernant le droit au subside excèdent l’objet du présent litige. Finalement, et comme déjà indiqué dans l’ATAS/1100/2013, aucune disposition légale ne contraint une assurance à proposer un arrangement de paiement, ni à suspendre le paiement des primes dans l’attente d’une décision d’octroi d’un subside cantonal. Cela est d’autant plus vrai que la jurisprudence contraint les assurances à tout mettre en œuvre pour procéder au recouvrement des primes impayées et que, en l’espèce, l’assuré n’est pas au bénéfice d’un subside pour l’année 2013. Les autres griefs de l’assuré sont sans pertinence dans le cadre de la présente cause.</w:t>
      </w:r>
    </w:p>
    <w:p>
      <w:r>
        <w:rPr>
          <w:b/>
        </w:rPr>
        <w:t>E. 7</w:t>
      </w:r>
    </w:p>
    <w:p>
      <w:r>
        <w:t>Le recours, infondé, est donc rejeté.</w:t>
      </w:r>
    </w:p>
    <w:p>
      <w:r>
        <w:t>A/365/2014 - 7/7 -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