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ATAS/542/2020 vom 29. Juni 2020</w:t>
      </w:r>
    </w:p>
    <w:p>
      <w:r>
        <w:t>GE Cour de justice, 2020-06-29, FR</w:t>
      </w:r>
    </w:p>
    <w:p>
      <w:r>
        <w:rPr>
          <w:b/>
        </w:rPr>
        <w:t xml:space="preserve">Quelle: </w:t>
      </w:r>
      <w:r>
        <w:t>https://mcp.opencaselaw.ch/entscheid/ge_gerichte_ATAS_542_2020</w:t>
      </w:r>
    </w:p>
    <w:p>
      <w:r>
        <w:t>FR: GE_GERICHTE ATAS/542/2020 du 29 juin 2020</w:t>
      </w:r>
    </w:p>
    <w:p>
      <w:r>
        <w:t>IT: GE_GERICHTE ATAS/542/2020 del 29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délai et forme légaux, est recevable (art. 56ss LPGA). Ses conclusions, malgré leur formulation, seront considérées comme tendant à l’octroi de mesures d’ordre professionnel et non à la simple constatation du droit à ces mesures, si bien qu’elles sont admissibles (cf. ATF 129 V 289 consid. 2.1).</w:t>
      </w:r>
    </w:p>
    <w:p>
      <w:r>
        <w:rPr>
          <w:b/>
        </w:rPr>
        <w:t>E. 3</w:t>
      </w:r>
    </w:p>
    <w:p>
      <w:r>
        <w:t>Le litige porte sur le droit du recourant à des prestations d’invalidité, plus précisément sur le point de savoir si son état de santé a subi une aggravation influant sur son droit aux prestations depuis la dernière décision au fond. On soulignera que l'objet du litige dans la procédure de recours est le rapport juridique réglé dans la décision attaquée dans la mesure où, d'après les conclusions du recours, il est remis en question par la partie recourante (arrêt du Tribunal fédéral 9C_678/2019 du 22 avril 2020 consid. 4.3.1). En l’espèce, le recourant a requis le renvoi à l’intimé afin que ce dernier calcule son degré d’invalidité. De manière expresse, il a cependant uniquement conclu à l’octroi de mesures d’ordre professionnel, à l’exclusion d’une rente. Cela étant, le juge des assurances sociales n’est pas lié par les conclusions des parties et peut statuer ultra petita, pour autant qu’il respecte le droit d’être entendu des parties (cf. art. 61 let. d LPGA).</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t>A/3458/2019 - 21/29 -</w:t>
      </w:r>
    </w:p>
    <w:p>
      <w:r>
        <w:rPr>
          <w:b/>
        </w:rPr>
        <w:t>E. 5</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Une simple appréciation différente d'un état de fait, qui, pour l'essentiel, est demeuré inchangé n'appelle en revanche pas à une révision au sens de l'art. 17 LPGA (ATF 112 V 371 consid. 2b ; arrêt du Tribunal fédéral 9C_818/2015 du 22 mars 2016 consid. 2.2). Le point de savoir si un tel changement s'est produit doit</w:t>
      </w:r>
    </w:p>
    <w:p>
      <w:r>
        <w:t>A/3458/2019 - 22/29 -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 29 juillet 2014 consid. 2.2).</w:t>
      </w:r>
    </w:p>
    <w:p>
      <w:r>
        <w:rPr>
          <w:b/>
        </w:rPr>
        <w:t>E. 7</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w:t>
      </w:r>
    </w:p>
    <w:p>
      <w:r>
        <w:t>A/3458/2019 - 23/29 -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w:t>
      </w:r>
    </w:p>
    <w:p>
      <w:r>
        <w:t>A/3458/2019 - 24/29 -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A/3458/2019 - 25/29 - inférieure aux normes de salaire usuelles (arrêt du Tribunal fédéral des assurances I 168/05 du 24 avril 2006 consid. 3.3).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10</w:t>
      </w:r>
    </w:p>
    <w:p>
      <w:r>
        <w:t>En l’espèce, l’intimé s’en est tenu à sa précédente appréciation de la capacité de travail et de gain du recourant, fondée sur l’expertise de 2007, qui a donné lieu à la procédure s’étant soldée par l’arrêt du 12 mai 2009. Il a en effet retenu que l’état de santé du recourant n’avait pas subi d’aggravation depuis. Or, compte tenu de l’issue consensuelle de la procédure judiciaire à l’époque, la force probante du premier rapport d’expertise n’a pas été examinée par la chambre de céans, qui n’a ainsi pas non plus tranché l’exigibilité d’une activité lucrative. Il convient ainsi en premier lieu d’examiner si l’appréciation des Drs H______, V______, F______ et W______ est probante, et partant permet de définir la capacité de gain du recourant à l’époque. Au plan formel, cette expertise retrace l’anamnèse médicale du recourant, complétée par son historique personnel et familial. Elle a été établie après que les experts ont pris connaissance du dossier et des plaintes du recourant, et à l’issue d’examens cliniques. Les diagnostics retenus ou exclus sont discutés et les conclusions motivées. Sur le fond, aucun rapport médical ne justifie que l’on s’écarte des conclusions des experts, qui n’ont pas ignoré d’atteinte diagnostiquée par un autre médecin. En outre, les médecins traitants du recourant s’étaient également initialement prononcés en faveur de la reprise d’une activité. En effet, le Dr D______ ne voyait pas de motif de prolonger l’arrêt de travail dans son rapport du 22 mai 2007, et le Dr C______ avait admis qu’une activité adaptée était possible en février 2006. Ce dernier semble certes être revenu sur cette conclusion dans son rapport du 28 août 2007, qui critique les conclusions de l’expertise. Il n’indique toutefois pas pour quels motifs objectifs la capacité de travail du recourant serait désormais limitée dans une activité adaptée. S’agissant du Dr K______, il a également admis la possibilité d’une activité adaptée dans son rapport du 31 août 2007. Partant, la première expertise du 15 mai 2007 doit se voir reconnaître valeur probante, sous la réserve suivante. L’expert rhumatologue a admis une capacité de travail de 80 % dans une activité respectant les limitations fonctionnelles suivantes : activités peu contraignantes, alternance des positions assise et debout, pas de port de charges ni de conduite de véhicules ou d’exposition à des vibrations corporelles.</w:t>
      </w:r>
    </w:p>
    <w:p>
      <w:r>
        <w:t>A/3458/2019 - 26/29 - Or, un poste d’agent de sécurité n’apparaît pas compatible avec ces exigences, contrairement à ce que le Dr V______ – auquel le recourant avait décrit une activité légère – a retenu. En effet, un agent de sécurité est notamment souvent appelé à maintenir la position debout longuement. Les Drs C______ et K______ ont d’ailleurs souligné l’impossibilité de poursuivre une carrière d’agent de sécurité. Du reste, bien que l’intimé ait exposé dans sa première décision que cette activité restait exigible, il a consenti à l’octroi de mesures d’ordre professionnel au cours de la procédure judiciaire qui a suivi, de sorte qu’on peut admettre qu’il s’est implicitement rallié à l’inexigibilité d’une telle activité. Il convient ensuite de déterminer si la seconde expertise réalisée a valeur probante et permet de trancher la survenance d’une aggravation de l’état de santé du recourant. Cette seconde expertise contient également tous les éléments nécessaires pour se voir reconnaître valeur probante, au plan formel. Au plan psychiatrique, elle se prononce sur les critères pertinents développés dans la jurisprudence récente. Cela étant, certaines formulations contenues dans le volet rhumatologique, et reprises dans le rapport commun des experts, sont à la limite de ce qui est acceptable dans une expertise. Une indication telle que « c’était sans surprise que l’assuré avait développé d’autres douleurs » pourrait traduire un parti pris de l’expert, de même que la phrase « L’assuré, malgré ses dires, avait opposé un syndrome douloureux toujours plus étendu, toujours plus prégnant, susceptible d'obérer toute activité, y compris les plus banales ». L’évocation de l’oisiveté du recourant est également empreinte d’un jugement de valeur. C’est ici le lieu de rappeler qu’on attend d’un expert médecin qu'il rapporte les constatations qu'il a faites de façon neutre et circonstanciée, et que les conclusions auxquelles il aboutit s'appuient sur des considérations médicales et non des jugements de valeur.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9C_603/2009 du 2 février 2010 consid. 3.3 et les références). Malgré ce qui précède et pour problématiques qu’elles soient, ces formulations ne suffisent pas à discréditer l’ensemble de l’expertise, dans le cas d’espèce. En premier lieu, au plan rhumatologique, il faut relever que les diagnostics du Dr S______ se recoupent avec ceux du rhumatologue traitant. En outre, le Dr K______ ne semble pas non plus avoir trouvé d’explication organique aux plaintes du recourant, puisqu’il indique en avoir recherché l’origine et a suggéré une expertise pluridisciplinaire. De plus, les conclusions de l’expertise résultent de l’appréciation consensuelle par plusieurs experts, qui ont tous pris connaissance du dossier et de l’historique du recourant et qui ont procédé à de minutieux examens cliniques avant d’exposer pour quels motifs ils admettaient ou écartaient certains diagnostics. Au plan neurologique, le Dr U______ a motivé les raisons pour lesquelles une neuropathie n'était pas retenue. On rappellera à ce sujet</w:t>
      </w:r>
    </w:p>
    <w:p>
      <w:r>
        <w:t>A/3458/2019 - 27/29 - que si le Dr N______ avait quant à lui admis une telle atteinte, il l’a qualifiée de légère et discrète et n’a pas expressément émis de limitations de ce chef. S’agissant des autres plaintes, notamment des douleurs scrotales et de la coccygodynie, ni le Drs U______ ni le Dr N______ n’ont trouvé de substrat organique susceptible de les expliquer. Le Pr O______ ne s’est quant à lui pas prononcé sur une éventuelle incapacité de travail en raison de cette atteinte. Ainsi, il y a lieu d’admettre que la seconde expertise permet d’exclure, au degré de la vraisemblance prépondérante, une aggravation de l’état de santé du recourant dans une mesure influant sur son droit aux prestations depuis la première décision de l’intimé. En effet, les conclusions diagnostiques des Drs S______, R______, U______ et Q______, lesquels ont admis des lombalgies chroniques, sont superposables à celles des précédents experts au plan somatique. En ce qui concerne le volet psychiatrique, le fait qu’aucun trouble psychique ne soit plus retenu ne suffit pas à démontrer d’amélioration de l’état de santé, puisque les atteintes de cet ordre retenues en 2007 par le Dr H______ n’avaient alors pas de répercussion sur la capacité de travail du recourant. Ainsi, compte tenu de l’absence de changement dans les diagnostics somatiques, l’admission par les experts en 2019 d’une pleine capacité de travail dans une activité adaptée, plutôt qu’une capacité de 80 %, relève d’une simple appréciation différente d’un même état de fait. La chambre de céans s’en tiendra ainsi à la capacité de gain de 80 % dans une activité adaptée initialement établie par les experts en 2007, que le recourant ne remet d’ailleurs pas en cause. Compte tenu de l’inexigibilité de l’activité d’agent de sécurité, le calcul du degré d’invalidité ne se confond pas avec le taux d’incapacité de travail, et c’est à juste titre que le recourant reproche à l’intimé de ne pas y avoir procédé. Cela ne justifie toutefois pas l’annulation et le renvoi à l’intimé, dès lors que la chambre de céans jouit d’une pleine cognition et qu’elle peut fixer le degré d’invalidité sans violer le droit d’être entendu de l’intimé, qui s’est abstenu de se prononcer sur les modalités de ce calcul alors qu’il fait partie du présent litige, au vu des conclusions et des moyens du recours. S’agissant du revenu sans invalidité, on peut se référer au salaire que le recourant aurait réalisé en tant qu’agent de sécurité en 2018, année lors de laquelle le droit à la rente doit être examiné compte tenu de la nouvelle demande déposée en avril 2018 et du délai de carence de six mois prévu à l’art. 29 al. 1 LAI. Il sera établi en fonction des revenus prévus par la convention collective de travail (CCT) pour la branche des services de sécurité privés et ayant force obligatoire sur l’ensemble du territoire suisse, ce qui est admissible selon la jurisprudence (par exemple arrêt du Tribunal fédéral 8C_304/2013 du 11 mars 2014 consid. 6.2). Selon la version en vigueur en février 2017 de la CCT, disponible en ligne https://www.ge.ch/document/13920/annexe/1, le revenu dès la 13ème année de service pour les catégories d’engagement A, soit les collaborateurs engagés au mois</w:t>
      </w:r>
    </w:p>
    <w:p>
      <w:r>
        <w:t>A/3458/2019 - 28/29 - et bénéficiant d’un taux d’occupation fixe contractuel entre 1801 et 2300 heures par année civile selon l’art. 8 CCT, s’élève à CHF 60'900.-. Le revenu avec invalidité peut quant à lui être fixé sur la base du salaire statistique qu’un homme peut tirer d’activités simples et répétitives (Enquête suisse sur la structure des salaires [ESS] 2018, TA1_tirage_skill_level, Ligne Total, niveau 1), soit CHF 5'417.- par mois et CHF 65'004.- par an. En effet, cette valeur s’applique en principe à tous les assurés qui ne peuvent plus accomplir leur ancienne activité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si ce n’est une mise au courant initiale, et compatibles avec des limitations fonctionnelles peu contraignantes (arrêt du Tribunal fédéral 9C_633/2016 du 28 décembre 2016 consid. 4.3). Adapté à la durée normale de travail de 41.7 heures en 2019, le revenu d’invalide est de CHF 67'767.-. L’évolution des salaires pour 2019 n’étant pas encore publiée, la chambre de céans renoncera à indexer le salaire, ce qui s’avère favorable au recourant. Compte tenu d’une capacité de travail de 80 %, le revenu sans invalidité est de CHF 54'484.-. En tenant compte d’un abattement de 15 % sur ce montant, afin de tenir compte des limitations fonctionnelles du recourant et de son taux d’activité incomplet, le revenu avec invalidité est de CHF 46'082.-. La comparaison des revenus aboutit ainsi à un degré d’invalidité de 24 %, insuffisant pour ouvrir le droit à une rente. On relèvera ici que même en tenant compte de l’abattement maximal de 25 % sur le revenu d’invalidité, ce dernier passerait à CHF 40'660.- et le taux d’invalidité serait alors de 33 %. Ce taux est cependant supérieur au seuil donnant droit à des mesures d’ordre professionnel selon la jurisprudence. Ces mesures ont toutefois déjà été accordées au recourant à la suite de la première procédure, de sorte qu’il ne saurait prétendre à leur octroi une nouvelle fois. Partant, la décision de l’intimé doit être confirmée dans son résultat.</w:t>
      </w:r>
    </w:p>
    <w:p>
      <w:r>
        <w:rPr>
          <w:b/>
        </w:rPr>
        <w:t>E. 11</w:t>
      </w:r>
    </w:p>
    <w:p>
      <w:r>
        <w:t>Le recours est rejeté. Le recourant, qui succombe, supporte l’émolument de procédure de CHF 200.- (art. 69 al. 1bis LAI).</w:t>
      </w:r>
    </w:p>
    <w:p>
      <w:r>
        <w:t>A/3458/2019 - 29/29 -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