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ATAS/542/2018 vom 19. Juni 2018</w:t>
      </w:r>
    </w:p>
    <w:p>
      <w:r>
        <w:t>GE Cour de justice, 2018-06-19, FR</w:t>
      </w:r>
    </w:p>
    <w:p>
      <w:r>
        <w:rPr>
          <w:b/>
        </w:rPr>
        <w:t xml:space="preserve">Quelle: </w:t>
      </w:r>
      <w:r>
        <w:t>https://mcp.opencaselaw.ch/entscheid/ge_gerichte_ATAS_542_2018</w:t>
      </w:r>
    </w:p>
    <w:p>
      <w:r>
        <w:t>FR: GE_GERICHTE ATAS/542/2018 du 19 juin 2018</w:t>
      </w:r>
    </w:p>
    <w:p>
      <w:r>
        <w:t>IT: GE_GERICHTE ATAS/542/2018 del 19 giugno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Dans ces conditions, il n’existe pas de lien de causalité adéquate entre l’accident assuré et les troubles neurologiques et psychiques que le recourant met en rapport avec un TCC qui serait survenu lors de cet événement. Aussi n’est-il pas nécessaire de compléter l’instruction médicale sur la survenance d’un tel traumatisme et ses répercussions sur la capacité de travail du recourant dans l’exercice d’une activité adaptée à ses limitations (appréciation anticipée des preuves ; ci-dessus : consid. 4). Partant, il est possible d’examiner les conséquences de l’accident du 17 décembre 2009 à l’aune des appréciations du Dr E_____, dont il convient préalablement d’examiner la valeur probante.</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w:t>
      </w:r>
    </w:p>
    <w:p>
      <w:r>
        <w:t>A/3737/2017 - 27/32 -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w:t>
      </w:r>
    </w:p>
    <w:p>
      <w:r>
        <w:rPr>
          <w:b/>
        </w:rPr>
        <w:t>E. 8</w:t>
      </w:r>
    </w:p>
    <w:p>
      <w:r>
        <w:t>a. En l’espèce, la décision entreprise se fonde sur l’appréciation du 14 janvier 2014 du Dr E_____, relative à l’exigibilité de l’exercice d’une activité adaptée à plein temps par le recourant. Fondée sur une connaissance approfondie du dossier et deux examens du recourant, tenant également compte des déclarations de celui-ci, cette appréciation apparaît cohérente et bien motivée. Dans un rapport du 6 octobre 2014, le Dr H_____ s’en prend principalement à l’adéquation des cinq DPT retenues par l’intimée en indiquant dans le même temps que les limitations fonctionnelles retenues par le Dr E_____ lui paraissent « assez correcte[s] ». Force est de constater que si tant est qu’une divergence d’appréciation ressort de ces propos, elle ne concerne ni l’exigibilité, ni le taux d’activité (100 %) ni le principe même de l’exercice d’une activité adaptée mais la transposition de l’évaluation du Dr E_____ par l’intimée au travers de la sélection des DPT, ce qui est (potentiellement) pertinent pour la détermination du revenu d’invalide (cf. ci- après : consid. 9), mais non pour l’exigibilité médicale en tant que telle. Quant au point de savoir en quoi les limitations retenues par le Dr E_____ seraient seulement « assez correcte[s] », il n’est pas suffisamment développé ni motivé pour qu’il en soit tenu compte, d’autant que le Dr H_____ n’indique pas quels éléments auraient été ignorés par le Dr E_____. Par conséquent, il convient de reconnaître une pleine valeur probante à l’appréciation de ce médecin-conseil. Partant, la chambre de céans considérera qu’il est établi, au degré de la vraisemblance prépondérante, que les suites de l’accident assuré étaient stabilisées au plus tard en janvier 2014 et que le recourant pouvait par conséquent reprendre une activité professionnelle à plein</w:t>
      </w:r>
    </w:p>
    <w:p>
      <w:r>
        <w:t>A/3737/2017 - 28/32 - temps n’impliquant ni port de charges pesant plus de 5 kg, ni utilisation d’outils lourds ou vibratoires ni travaux nécessitant une force de serrage avec les mains. b. En l’absence de causalité adéquate entre l’accident assuré et d’autres troubles que le recourant impute au TCC qui serait survenu lors de cet événement (cf. ci-dessus : consid. 5 et 6), le Dr E_____ était fondé à évaluer l’IPAI à l’aune des seules fractures bilatérales de l’extrémité distale des deux radius. Fondée sur le barème d’indemnisation de la table 5 de la SUVA (atteinte à l’intégrité résultant d’arthroses), l’estimation d’une IPAI de 30 % ne prête pas le flanc à la critique, son montant de CHF 37'800.- non plus puisque le montant maximal du gain assuré s’élevait à CHF 126'000.- à l’époque de l’accident assuré (art. 25 al. 1 LAA cum art. 22 al. 1 de l’ordonnance sur l’assurance-accidents du 20 décembre 1982, dans sa teneur en vigueur du 1er janvier 2008 au 31 décembre 2015 ; aOLAA – RS 832.202 ; CHF 126'000.- x 30 / 100 = CHF 37'800.-). Il convient à présent d’examiner le degré d’invalidité. Dans la mesure où le recourant ne conteste pas, au stade du recours, le revenu d’invalide déterminé sur la base de la moyenne des salaires moyens des cinq DPT sélectionnées par l’intimée en 2014 (CHF 48'695.40), soit CHF 4'057.95 (et non CHF 4'076.- comme indiqué dans la décision du 20 août 2014), il n’y a pas lieu d’y revenir. Il en va de même du revenu sans invalidité réalisé en 2009 pour son dernier employeur (CHF 26.- par heure), qui se serait élevé à CHF 26.75 par heure, respectivement CHF 60'275.- par an en 2014 (soit CHF 26.75 x 40 heures par semaine x 52 semaines + 8.33 % à titre de 13ème salaire) ou CHF 5'023.- par mois. En comparant ce revenu avec le revenu d’invalide, la perte de gain s’élève en définitive à 19.21 % du revenu sans invalidité (CHF 5'023.- – CHF 4'058.- x 100 / CHF 5'023.- = 19.21 %) et le degré d’invalidité à 19 % (19.21 % arrondi à 19 % ; ATF 130 V 121), comme retenu dans la décision entreprise.</w:t>
      </w:r>
    </w:p>
    <w:p>
      <w:r>
        <w:rPr>
          <w:b/>
        </w:rPr>
        <w:t>E. 9</w:t>
      </w:r>
    </w:p>
    <w:p>
      <w:r>
        <w:t>a. Selon l'art. 15 LAA, les indemnités journalières et les rentes sont calculées d'après le gain assuré (al. 1) ; est déterminant pour le calcul des rentes le salaire que l'assuré a gagné durant l'année qui a précédé l'accident (al. 2, deuxième phrase).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 du gain assuré (art. 20 al. 1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(1ère phrase) ; si les rapports de travail ont duré moins d'une année, le salaire reçu au cours de cette période est</w:t>
      </w:r>
    </w:p>
    <w:p>
      <w:r>
        <w:t>A/3737/2017 - 29/32 - converti en gain annuel (2ème phrase) ; en cas d'activité de durée déterminée, la conversion se limite à la durée prévue (3ème phrase). À noter que l’art. 22 al. 4 OLAA a connu deux modifications entrées en vigueur le 1er janvier 2017. La première concerne la 3ème phrase, qui est désormais libellée comme suit : « en cas d’activité prévue initialement pour une durée déterminée, la conversion se limite à la durée prévue, pour autant que le plan de carrière actuel ou prévu de l’assuré n’envisage pas pour la suite une autre durée normale de l’activité ». La seconde consiste dans le rajout d’une 4ème phrase ayant la teneur suivante : « La conversion est limitée à la durée autorisée selon le droit applicable aux étrangers ».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l’occurrence, les faits déterminants se sont produits avant l’entrée en vigueur des modifications évoquées. C’est donc au regard de la loi et de la jurisprudence applicables jusqu’au 31 décembre 2016 que le litige doit être tranché en tant qu’il porte sur la détermination du gain assuré. b. Dans un ATF 138 V 106 du 15 décembre 2011, le Tribunal fédéral s'est penché sur les principes régissant la fixation du salaire déterminant pour le calcul de la rente des travailleurs occupés de manière irrégulière. Appelé à trancher le cas d'un assuré victime d'un accident alors qu'il était partie à un rapport de travail limité à trois semaines, la Ière Cour de droit social s'est posée la question de savoir si la durée déterminée du contrat de travail entraînait forcément l'application de l'art. 22 al. 4, 3ème phrase aOLAA. Elle y a répondu par la négative. D'une part, la jurisprudence avait déjà à maintes reprises interprété le texte de la disposition réglementaire en se fondant sur le critère de la durée normale de l'activité (cf. ATF 118 V 298 consid. 2b ; 114 V 113 consid. 3d ; RAMA 1992 no U 148 p. 117, consid. 4c/aa [arrêt du Tribunal fédéral des assurances U 19/90 du</w:t>
      </w:r>
    </w:p>
    <w:p>
      <w:r>
        <w:rPr>
          <w:b/>
        </w:rPr>
        <w:t>E. 10</w:t>
      </w:r>
    </w:p>
    <w:p>
      <w:r>
        <w:t>Au regard de ce qui précède, le recours, mal fondé, doit être rejeté.</w:t>
      </w:r>
    </w:p>
    <w:p>
      <w:r>
        <w:rPr>
          <w:b/>
        </w:rPr>
        <w:t>E. 11</w:t>
      </w:r>
    </w:p>
    <w:p>
      <w:r>
        <w:t>a. Vu l’issue donnée au recours, aucune indemnité de procédure ne sera allouée au recourant (art. 61 let. g LPGA et art. 89H al. 3 LPA a contrario). b.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 PAR CES MOTIFS, LA CHAMBRE DES ASSURANCES SOCIALES : Statuant</w:t>
      </w:r>
    </w:p>
    <w:p>
      <w:r>
        <w:t>A/3737/2017 - 32/32 -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