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ATAS/541/2021 vom 2. Juni 2021</w:t>
      </w:r>
    </w:p>
    <w:p>
      <w:r>
        <w:t>GE Cour de justice, 2021-06-02, FR</w:t>
      </w:r>
    </w:p>
    <w:p>
      <w:r>
        <w:rPr>
          <w:b/>
        </w:rPr>
        <w:t xml:space="preserve">Quelle: </w:t>
      </w:r>
      <w:r>
        <w:t>https://mcp.opencaselaw.ch/entscheid/ge_gerichte_ATAS_541_2021</w:t>
      </w:r>
    </w:p>
    <w:p>
      <w:r>
        <w:t>FR: GE_GERICHTE ATAS/541/2021 du 2 juin 2021</w:t>
      </w:r>
    </w:p>
    <w:p>
      <w:r>
        <w:t>IT: GE_GERICHTE ATAS/541/2021 del 2 giugno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délai de recours est de trente jours (art. 56 LPGA; art. 62 al. 1 de la de loi sur la procédure administrative du 12 septembre 1985 [LPA - E 5 10]). Interjeté dans la forme et le délai prévus par la loi, le recours est recevable.</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w:t>
      </w:r>
    </w:p>
    <w:p>
      <w:r>
        <w:t>A/3300/2020 - 16/19 -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Le degré d’invalidité de la personne assurée qui assume des tâches ménagères ne doit pas être déterminé sur une base médico-théorique, mais en tenant compte des conséquences concrètes de l’atteinte à la santé sur chacune des activités en partant d’une enquête menée sur place par une personne qualifiée (art. 69 al. 2 RAI). Celle- ci repose dans une large mesure sur le comportement et les déclarations de la personne assurée qui sont contrôlées jusqu’à un certain point grâce à l’expérience de la personne chargée de l’enquête. Son résultat aboutit à une évaluation qui doit être appréciée par l’administration, en cas de recours par le juge, à la lumière des conclusions du médecin relatives à l’incapacité de travail dans l’accomplissement des tâches ménagères (VALTERIO, op. cit., n. 111, p. 462).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La mise en oeuvre d'une enquête ménagère en cas de statut mixte n'est toutefois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2 du septembre 2010).</w:t>
      </w:r>
    </w:p>
    <w:p>
      <w:r>
        <w:t>A/3300/2020 - 17/19 -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rPr>
          <w:b/>
        </w:rPr>
        <w:t>E. 5</w:t>
      </w:r>
    </w:p>
    <w:p>
      <w:r>
        <w:t>Le litige porte sur le droit de la recourante à une rente d’invalidité.</w:t>
      </w:r>
    </w:p>
    <w:p>
      <w:r>
        <w:rPr>
          <w:b/>
        </w:rPr>
        <w:t>E. 6</w:t>
      </w:r>
    </w:p>
    <w:p>
      <w:r>
        <w:t>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En vertu de l’art. 28 al. 2 LAI, l’assuré a droit à une rente entière s’il est invalide à 70% au moins, à un trois-quarts de rente s'il est invalide à 60% au moins, à une</w:t>
      </w:r>
    </w:p>
    <w:p>
      <w:r>
        <w:t>A/3300/2020 - 11/19 -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L'évaluation des syndromes sans pathogenèse ni étiologie claires et sans constat de déficit organique ne fait pas l'objet d'un consensus médical (arrêt du Tribunal fédéral 9C_619/2012 du 9 juillet 2013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Les principes jurisprudentiels développés en matière de troubles somatoformes douloureux sont également applicables à la fibromyalgie (ATF 132 V 65 consid. 4.1). La fibromyalgie est une affection rhumatismale reconnue par l'Organisation mondiale de la santé (CIM-10, M79.0). Elle est caractérisée par une douleur généralisée et chronique du système ostéoarticulaire et s'accompagne généralement d'une constellation de perturbations essentiellement subjectives (tels que fatigue, troubles du sommeil, sentiment de détresse, céphalées, manifestations digestives et urinaires d'allure fonctionnelle). Les critères diagnostiques, établis pour la première fois par l'American Rheumatism Association, sont la combinaison d'une douleur généralisée intéressant l'axe du corps, les hémicorps droit et gauche, à la fois au- dessus et en dessous de la taille, durant au moins trois mois, ainsi que des douleurs à la palpation d'au moins 11 points douloureux ("tender points") sur 18. Si les symptômes fibromyalgiques se manifestent de la même manière sous les deux formes, celle secondaire - qui est trois fois plus répandue dans la population - se distingue de celle primaire par le fait qu'elle se trouve associée à d'autres maladies (par exemple des maladies dégénératives rhumatismales). Aucune étiologie n'a pu être clairement établie pour la forme primaire de la fibromyalgie, dont le diagnostic</w:t>
      </w:r>
    </w:p>
    <w:p>
      <w:r>
        <w:t>A/3300/2020 - 12/19 - est posé par exclusion (tender points douloureux en l'absence de tout autre maladie, en particulier inflammatoire) (ATF 132 V 65). La reconnaissance de l'existence d’une fibromyalgie suppose d'abord la présence d'un diagnostic émanant d’un rhumatologue s'appuyant lege artis sur les critères d'un système de classification reconnu (ATF 132 V 65 consid. 3.2).</w:t>
      </w:r>
    </w:p>
    <w:p>
      <w:r>
        <w:rPr>
          <w:b/>
        </w:rPr>
        <w:t>E. 8</w:t>
      </w:r>
    </w:p>
    <w:p>
      <w:r>
        <w:t>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 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w:t>
      </w:r>
    </w:p>
    <w:p>
      <w:r>
        <w:t>A/3300/2020 - 13/19 - troubles de la personnalité sont, plus que d’autres indicateurs, dépendants du médecin examinateur, les exigences de motivation sont particulièrement élevées. e.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g. Il faut examiner en 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w:t>
      </w:r>
    </w:p>
    <w:p>
      <w:r>
        <w:rPr>
          <w:b/>
        </w:rPr>
        <w:t>E. 9</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A/3300/2020 - 14/19 -</w:t>
      </w:r>
    </w:p>
    <w:p>
      <w:r>
        <w:rPr>
          <w:b/>
        </w:rPr>
        <w:t>E. 10</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12</w:t>
      </w:r>
    </w:p>
    <w:p>
      <w:r>
        <w:t>a. Lorsque la personne assurée se consacre à ses travaux habituels, l'invalidité est fixée selon la méthode spécifique. Le degré d’invalidité résulte de la comparaison des activités qu’elle déployait avant d’être atteinte dans sa santé avec celles qu’elle est encore capable d’exercer après les efforts que l’on peut raisonnablement exiger</w:t>
      </w:r>
    </w:p>
    <w:p>
      <w:r>
        <w:t>A/3300/2020 - 15/19 - d’elle. On présume qu’il n’y a généralement pas d’empêchement dû à l’invalidité lorsqu’elle est encore active dans le ménage et exécute, au moins partiellement, les tâches qui en découlent. Cette présomption peut être renversée s’il est établi qu’elle travaille au-delà de ce qui est raisonnablement exigible ou s’il ressort du dossier qu’elle fait exécuter par des tiers la plupart des travaux qu’elle ne peut pas effectuer. Dans ce contexte, l’invalidité d’un conjoint aggrave celle du conjoint qui était déjà invalide dans la mesure où celui-ci ne peut plus compter sur une aider lui permettant de compenser son handicap (Michel VALTERIO, Commentaire, Loi fédérale sur l'assurance-invalidité (LAI), 2018, n. 107, p. 460).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1er LAI), la personne assurée est notamment tenue d’adopter une méthode de travail adéquate, de répartir son travail en conséquence et de demander l’aide de ses proches dans une mesure convenable (ATF 133 V 504 consid. 4.2 et les références citées). Pour satisfaire à l'obligation de réduire le dommage (voir ATF 129 V 463 consid.</w:t>
      </w:r>
    </w:p>
    <w:p>
      <w:r>
        <w:rPr>
          <w:b/>
        </w:rPr>
        <w:t>E. 13</w:t>
      </w:r>
    </w:p>
    <w:p>
      <w:r>
        <w:t>a. En l’espèce, la recourante a un statut de non active. En principe, les empêchements dans le ménage sont, dans ce cas, établis par une enquête ménagère. En l’occurrence, une telle enquête, qui est fondée essentiellement sur les déclarations de la personne assurée, n’est pas appropriée. En effet, comme la recourante souffre de fibromyalgie, elle peut être limitée subjectivement dans ses travaux ménagers par des douleurs qui ne sont pas reconnues comme invalidantes sur le plan médical. C’est donc à juste titre que l’intimé a fait procéder à une expertise, par un rhumatologue pour valider ou pas le diagnostic de fibromyalgie, et par un psychiatre pour déterminer, cas échéant, si ce diagnostic était invalidant pour la recourante. b. L’expertise du CEMed remplit les conditions pour se voir reconnaître une pleine valeur probante. Ses conclusions sont motivées et comprennent une analyse des indicateurs développés par le Tribunal fédéral en cas de fibromyalgie. Elles ne sont pas sérieusement remises en cause par le rapport établi par le 15 octobre 2020 par la Dresse B______, qui est peu motivé et tient compte de la fibromyalgie, sans démontrer que les indicateurs seraient remplis pour reconnaître que ce diagnostic serait handicapant, ni critiquer sur ce point l’analyse des experts et sans tenir compte de l’aide exigible de la fille de la recourante. Les conclusions de l’expertise ne sont non plus remises en cause par les rapports établis le 25 août 2017 par la Dresse B______ et le 5 septembre 2017 par la Dresse C______, qui retenaient toutes les deux que l’état de santé de la recourante s’était aggravé depuis sa demande de prestations de 2004, que ses douleurs en lien avec sa fibromyalgie étaient plus importantes et que sa capacité de travail était nulle. En</w:t>
      </w:r>
    </w:p>
    <w:p>
      <w:r>
        <w:t>A/3300/2020 - 18/19 - effet, ces rapports sont peu détaillés et n’examinent pas les indicateurs développés par le Tribunal fédéral en la matière. Quant au rapport établi le 21 novembre 2017 par le Dr D______, il ne remet pas non plus en cause les conclusions de l’expertise, dès lors qu’il retenait l’apparition de symptômes de reflux et la découverte de l’adénome en juin 2008 qui limitaient la position penchée en avant, sans préciser en quoi cela limitait la capacité de la recourante à faire ses travaux ménagers. Or, il ressort de ses déclarations qu’elle arrive à faire ses travaux ménagers, à son rythme, en faisant des pauses et avec l’aide de sa fille pour les travaux plus lourds. c. En conclusion, la décision querellée est fondée sur une expertise probante et doit être confirmée.</w:t>
      </w:r>
    </w:p>
    <w:p>
      <w:r>
        <w:rPr>
          <w:b/>
        </w:rPr>
        <w:t>E. 14</w:t>
      </w:r>
    </w:p>
    <w:p>
      <w:r>
        <w:t>Le recours sera en conséquence rejeté et la recourante sera condamnée au paiement d'un émolument de CHF 200.- (art. 69 al. 1bis LAI).</w:t>
      </w:r>
    </w:p>
    <w:p>
      <w:r>
        <w:t>A/3300/2020 - 19/19 -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