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ATAS/540/2016 vom 30. Juni 2016</w:t>
      </w:r>
    </w:p>
    <w:p>
      <w:r>
        <w:t>GE Cour de justice, 2016-06-30, FR</w:t>
      </w:r>
    </w:p>
    <w:p>
      <w:r>
        <w:rPr>
          <w:b/>
        </w:rPr>
        <w:t xml:space="preserve">Quelle: </w:t>
      </w:r>
      <w:r>
        <w:t>https://mcp.opencaselaw.ch/entscheid/ge_gerichte_ATAS_540_2016</w:t>
      </w:r>
    </w:p>
    <w:p>
      <w:r>
        <w:t>FR: GE_GERICHTE ATAS/540/2016 du 30 juin 2016</w:t>
      </w:r>
    </w:p>
    <w:p>
      <w:r>
        <w:t>IT: GE_GERICHTE ATAS/540/2016 del 30 giugno 2016</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- 3/5-</w:t>
      </w:r>
    </w:p>
    <w:p>
      <w:r>
        <w:t>A/1776/2016 Sa compétence pour juger du cas d’espèce est ainsi établie.</w:t>
      </w:r>
    </w:p>
    <w:p>
      <w:r>
        <w:rPr>
          <w:b/>
        </w:rPr>
        <w:t>E. 2</w:t>
      </w:r>
    </w:p>
    <w:p>
      <w:r>
        <w:t>La LPGA, entrée en vigueur le 1er janvier 2003, est applicable au cas d'espèce.</w:t>
      </w:r>
    </w:p>
    <w:p>
      <w:r>
        <w:rPr>
          <w:b/>
        </w:rPr>
        <w:t>E. 3</w:t>
      </w:r>
    </w:p>
    <w:p>
      <w:r>
        <w:t>L'art. 61 LPGA prévoit que la procédure devant la chambre des assurances sociales est réglée par le droit cantonal, sous réserve que celui-ci respecte les exigences minimales requises par la LPGA. Les décisions sur opposition sont sujettes à recours dans les 30 jours suivant la notification de la décision sujette à recours (art. 56 et 60 LPGA; cf. également 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du 7e jour avant Pâques au 7e jour après Pâques inclusivement (art. 38 al. 4 LPGA et art. 89C LPA).</w:t>
      </w:r>
    </w:p>
    <w:p>
      <w:r>
        <w:t>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l'occurrence, le délai a commencé à courir le 4 avril 2016, soit le 8ème jour après Pâques, pour venir à échéance le 3 mai. Le recours interjeté le 28 mai 2016 est donc tardif, ce qui n’est d’ailleurs pas contesté par la recourante.</w:t>
      </w:r>
    </w:p>
    <w:p>
      <w:r>
        <w:rPr>
          <w:b/>
        </w:rPr>
        <w:t>E. 4</w:t>
      </w:r>
    </w:p>
    <w:p>
      <w:r>
        <w:t>Reste à examiner si une restitution de délai peut être accordée. Tel peut être le cas, de manière exceptionnelle, à condition que le requérant ait été empêché, sans sa faute, d’agir dans le délai fixé. Il s’agit-là de dispositions</w:t>
      </w:r>
    </w:p>
    <w:p>
      <w:r>
        <w:t>- 4/5-</w:t>
      </w:r>
    </w:p>
    <w:p>
      <w:r>
        <w:t>A/1776/2016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En effet, elle ne soutient pas être privée de la capacité de discernement. Si elle ne trouvait pas l’énergie de s’occuper de ses affaires courantes, il lui appartenait pour le moins de désigner un tiers pour s’en charger. En l'absence de motif valable de restitution de délai, le recours doit être déclaré irrecevable pour cause de tardiveté. On relèvera que, quoi qu’il en soit, la recourante ne conteste pas que les prestations dont la restitution lui est réclamée ont été versées à tort mais invoque son impossibilité à rembourser. Ce faisant, elle fait en réalité valoir des motifs de remise de l’obligation de restituer, demande qui ne pourra être examinée par le SPC qu’une fois la décision de restitution entrée en force.</w:t>
      </w:r>
    </w:p>
    <w:p>
      <w:r>
        <w:t>- 5/5-</w:t>
      </w:r>
    </w:p>
    <w:p>
      <w:r>
        <w:t>A/1776/2016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