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ATAS/540/2014 vom 29. April 2014</w:t>
      </w:r>
    </w:p>
    <w:p>
      <w:r>
        <w:t>GE Cour de justice, 2014-04-29, FR</w:t>
      </w:r>
    </w:p>
    <w:p>
      <w:r>
        <w:rPr>
          <w:b/>
        </w:rPr>
        <w:t xml:space="preserve">Quelle: </w:t>
      </w:r>
      <w:r>
        <w:t>https://mcp.opencaselaw.ch/entscheid/ge_gerichte_ATAS_540_2014</w:t>
      </w:r>
    </w:p>
    <w:p>
      <w:r>
        <w:t>FR: GE_GERICHTE ATAS/540/2014 du 29 avril 2014</w:t>
      </w:r>
    </w:p>
    <w:p>
      <w:r>
        <w:t>IT: GE_GERICHTE ATAS/540/2014 del 29 aprile 2014</w:t>
      </w:r>
    </w:p>
    <w:p>
      <w:pPr>
        <w:pStyle w:val="Heading2"/>
      </w:pPr>
      <w:r>
        <w:t>Erwägungen</w:t>
      </w:r>
    </w:p>
    <w:p>
      <w:r>
        <w:rPr>
          <w:b/>
        </w:rPr>
        <w:t>E. 1</w:t>
      </w:r>
    </w:p>
    <w:p>
      <w:r>
        <w:t>a) Conformément à l'art. 134 al. 1 let. a ch. 1 de la loi sur l'organisation judiciaire, du 26 septembre 2010 (LOJ ; RSG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(ATFA non publié H 184/06 du 25 avril 2007, consid. 2.3).</w:t>
      </w:r>
    </w:p>
    <w:p>
      <w:r>
        <w:t>A/2827/2013 - 11/23 - c) La société étant domiciliée dans le canton de Genève depuis le 12 avril 1956 jusqu'au moment de la faillite, la Cour de céans est compétente ratione materiae et loci pour juger du cas d’espèce.</w:t>
      </w:r>
    </w:p>
    <w:p>
      <w:r>
        <w:rPr>
          <w:b/>
        </w:rPr>
        <w:t>E. 2</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les recours sont recevables (art. 38 et 56 à 61 LPGA).</w:t>
      </w:r>
    </w:p>
    <w:p>
      <w:r>
        <w:rPr>
          <w:b/>
        </w:rPr>
        <w:t>E. 4</w:t>
      </w:r>
    </w:p>
    <w:p>
      <w:r>
        <w:t>Le litige porte sur la responsabilité des recourants dans le préjudice causé à l’intimée, par le défaut de paiement d’une partie des cotisations sociales et contributions (AVS-AI-APG et AC ainsi qu’AMat et AF) entre le 1er mars 2005, jour de l’affiliation de la société auprès de l’intimée, et le 18 août 2011, jour de la faillite de la société.</w:t>
      </w:r>
    </w:p>
    <w:p>
      <w:r>
        <w:rPr>
          <w:b/>
        </w:rPr>
        <w:t>E. 5</w:t>
      </w:r>
    </w:p>
    <w:p>
      <w:r>
        <w:t>En premier lieu, il convient de se pencher sur la question de la violation du droit d’être entendu invoquée par M. B______ à l’appui de son recours.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w:t>
      </w:r>
    </w:p>
    <w:p>
      <w:r>
        <w:t>A/2827/2013 - 12/23 -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w:t>
      </w:r>
    </w:p>
    <w:p>
      <w:r>
        <w:rPr>
          <w:b/>
        </w:rPr>
        <w:t>E. 6</w:t>
      </w:r>
    </w:p>
    <w:p>
      <w:r>
        <w:t>En l’espèce, M. B______ a requis de l’intimée qu’elle lui transmette une copie du dossier de la cause dans le cadre de son opposition du 22 février 2013. Par courriel du 8 mars 2013, l’intimée lui a communiqué un extrait de compte global, les attestations de salaires de 2005 à 2011 et les décisions de cotisations de 2005 à 2011. L’intimée a rendu sa décision sur opposition du 7 août 2013. Il ressort du dossier que M. B______ n’a pas réagi à la communication du 8 mars 2013, ni pour demander des pièces complémentaires, ni pour compléter son opposition. Même si l’intégralité du dossier le concernant ne lui a pas été remis, il avait la possibilité d’en requérir la consultation, ce d’autant plus que l’intimée a laissé s’écouler une période de cinq mois avant de rendre sa décision sur opposition. Il n’est toutefois pas nécessaire d’examiner cette question plus en avant, dans la mesure où la violation du droit d’être entendu alléguée par M. B______ a en tous les cas été réparée dans la cadre de la procédure contentieuse. En effet, l’intégralité du dossier de la procédure était disponible à la consultation auprès de la Cour de céans, ce dont les parties ont été informées. Ainsi, M. B______ avait la possibilité de consulter librement les pièces qu’il estimait pertinente pour pouvoir se déterminer et compléter son argumentation devant la Cour de céans, laquelle dispose d’un plein pouvoir d’examen (art. 61 let. c et d LPGA). Au vu de ce qui précède, le recours de M. B______ doit être rejeté sur ce point. Quant au fond du litige, il convient d’exposer ce qui suit.</w:t>
      </w:r>
    </w:p>
    <w:p>
      <w:r>
        <w:rPr>
          <w:b/>
        </w:rPr>
        <w:t>E. 7</w:t>
      </w:r>
    </w:p>
    <w:p>
      <w:r>
        <w:t>a) L'art. 14 al. 1er LAVS en corrélation avec les art. 34 et suivants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t>A/2827/2013 - 13/23 - b) A teneur de l’art. 52 LAVS dans sa teneur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8</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(ATFA non publié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w:t>
      </w:r>
    </w:p>
    <w:p>
      <w:r>
        <w:t>A/2827/2013 - 14/23 -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9</w:t>
      </w:r>
    </w:p>
    <w:p>
      <w:r>
        <w:t>En l’espèce, M. B______ et Mme C______ ont tous deux invoqué la prescription de la créance de l’intimée dans le cadre de leur opposition. Il convient de rappeler que la faillite de la société a été prononcée le 18 août 2011, la publication dans la FAO étant intervenue le 16 septembre 2011 et la liquidation sommaire ayant débuté le 8 décembre 2011. La procédure de faillite s’est poursuivie par la production de la créance de l’intimée le 17 janvier 2012, le dépôt de l’état de collocation le 6 mars 2012 et la délivrance, le 5 juillet 2012, de deux actes de défauts de bien portant sur totalité de la créance produite par l’intimée. Sur l’ensemble des poursuites engagées par l’intimée à l’encontre de la société, six ont abouti à la délivrance d’un procès-verbal de saisie valant acte de défaut de biens avant la faillite de la société, soit respectivement les 14 février 2009, 22 mars 2010 et 24 mai 2011. Les deux procès-verbaux délivrés les 14 février 2009 et 22 mars 2010 concernent les cotisations paritaires pour les périodes d’avril à juin 2008 et janvier à mars 2009, ont fait l’objet d’une décision en réparation du dommage de CHF 3'630,70 le 20 janvier 2011, qui n’entre donc pas dans le cadre du présent litige.</w:t>
      </w:r>
    </w:p>
    <w:p>
      <w:r>
        <w:t>A/2827/2013 - 15/23 - Compte tenu de ces éléments et des principes jurisprudentiels exposés précédemment, il apparaît que le dommage subi par l’intimée et faisant l’objet des décisions querellées est survenu à deux moments distincts, soit le 24 mai 2011 pour les arriérés de contributions pour allocations familiales des années 2005 et 2006 et de cotisations paritaires de l’année 2008 et des périodes d’avril à septembre 2009 et de juillet à octobre 2010, et le 6 mars 2012 pour les arriérés de contributions pour allocations familiales et de cotisations paritaires des périodes de novembre 2010 jusqu’à la faillite de la société. C’est également les 24 mai 2011 et 6 mars 2012 que l’intimée a eu connaissance de son dommage et que les délais de prescription ont commencé à courir. En effet, avant ces dates, elle n’était pas en mesure de chiffrer son dommage, ce d’autant plus que les cotisations sociales de la société avaient été partiellement acquittées au fil du temps, notamment la part pénale, comme cela ressort de l’extrait de compte global des cotisations. Il s’ensuit qu’en adressant ses décisions en réparation du dommage à M. A______, M. B______ et Mme C______ le 22 janvier 2013, l’intimée a respecté tant le délai de prescription de deux ans à compter de la connaissance du dommage que celui de cinq ans dès la survenance du dommage. En effet, On précisera encore que ces délais ont été interrompus et de nouveaux délais de même durée ont commencé à courir suite aux oppositions, aux décisions sur opposition, aux recours qui s’en sont suivis et, depuis lors, par chaque acte judiciaire des parties de sorte qu’à ce jour, la prescription n’est toujours pas acquise.</w:t>
      </w:r>
    </w:p>
    <w:p>
      <w:r>
        <w:rPr>
          <w:b/>
        </w:rPr>
        <w:t>E. 10</w:t>
      </w:r>
    </w:p>
    <w:p>
      <w:r>
        <w:t>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w:t>
      </w:r>
    </w:p>
    <w:p>
      <w:r>
        <w:rPr>
          <w:b/>
        </w:rPr>
        <w:t>E. 11</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w:t>
      </w:r>
    </w:p>
    <w:p>
      <w:r>
        <w:t>A/2827/2013 - 16/23 -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w:t>
      </w:r>
    </w:p>
    <w:p>
      <w:r>
        <w:rPr>
          <w:b/>
        </w:rPr>
        <w:t>E. 12</w:t>
      </w:r>
    </w:p>
    <w:p>
      <w:r>
        <w:t>En l’espèce, M. A______ a été inscrit au RC en qualité d’administrateur président avec signature collective à deux du 5 novembre 2003 au 29 septembre 2010. Pour leur part, M. B______ et Mme C______ ont tous deux été inscrits en qualité d’administrateur avec signature collective à deux notamment du 1er mars 2005 au 18 août 2011. Cela étant, chacun des recourants est indiscutablement un organe formel de la société pour la période pertinente, de sorte qu’ils doivent être considérés comme des « employeurs » au sens de l’art. 52 LAVS.</w:t>
      </w:r>
    </w:p>
    <w:p>
      <w:r>
        <w:rPr>
          <w:b/>
        </w:rPr>
        <w:t>E. 13</w:t>
      </w:r>
    </w:p>
    <w:p>
      <w:r>
        <w:t>Les recourants revêtant tous la qualité d’organes formels, il convient maintenant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consid. 2). Les faits reprochés à une entreprise ne sont pas nécessairement imputables à chacun des organes de celle-ci. Il convient bien plutôt d'examiner si et</w:t>
      </w:r>
    </w:p>
    <w:p>
      <w:r>
        <w:t>A/2827/2013 - 17/23 -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ATF non publié 9C_926/2009 du 27 avril 2010, consid. 4.3.2). La négligence grave mentionnée à l'art. 52 LAVS est admise très largement par la jurisprudence (ATF 132 III 523 consid. 4.6). Dans les entreprises de petite taille et de grandeur moyenne, le devoir de surveillance concernant l’accomplissement de l’obligation légale de payer des cotisations ne saurait être abandonné à des tiers (ATF non publié 9C_437/2009 du</w:t>
      </w:r>
    </w:p>
    <w:p>
      <w:r>
        <w:rPr>
          <w:b/>
        </w:rPr>
        <w:t>E. 16</w:t>
      </w:r>
    </w:p>
    <w:p>
      <w:r>
        <w:t>En dernier lieu, M. A______ a précisé lors de son audition qu’il contestait le montant du dommage. Comme relevé précédemment,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(ATFA non publié H 142/03 du 19 août 2003, consid. 5.5). Il ressort du relevé de compte des cotisations produit par l’intimée que les amendes prononcées contre la société ont été déduites lors du calcul du dommage. Par ailleurs, dans le cadre de sa décision sur opposition, l’intimée a, à juste titre, réduit le montant réclamé à M. A______, dans la mesure où il ne pouvait être tenu pour</w:t>
      </w:r>
    </w:p>
    <w:p>
      <w:r>
        <w:t>A/2827/2013 - 22/23 - responsable du non-paiement des cotisations du troisième trimestre 2010, ayant été radié du RC le 29 septembre 2010. Par conséquent, c’est à bon droit que l’intimée a fixé à CHF 36'498,45 le montant du dommage vis-à-vis de M. A______, de sorte que la décision sur opposition y relative doit être confirmée.</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