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ATAS/540/2010 vom 18. Mai 2010</w:t>
      </w:r>
    </w:p>
    <w:p>
      <w:r>
        <w:t>GE Cour de justice, 2010-05-18, FR</w:t>
      </w:r>
    </w:p>
    <w:p>
      <w:r>
        <w:rPr>
          <w:b/>
        </w:rPr>
        <w:t xml:space="preserve">Quelle: </w:t>
      </w:r>
      <w:r>
        <w:t>https://mcp.opencaselaw.ch/entscheid/ge_gerichte_ATAS_540_2010</w:t>
      </w:r>
    </w:p>
    <w:p>
      <w:r>
        <w:t>FR: GE_GERICHTE ATAS/540/2010 du 18 mai 2010</w:t>
      </w:r>
    </w:p>
    <w:p>
      <w:r>
        <w:t>IT: GE_GERICHTE ATAS/540/2010 del 18 maggio 2010</w:t>
      </w:r>
    </w:p>
    <w:p>
      <w:pPr>
        <w:pStyle w:val="Heading2"/>
      </w:pPr>
      <w:r>
        <w:t>Erwägungen</w:t>
      </w:r>
    </w:p>
    <w:p>
      <w:r>
        <w:rPr>
          <w:b/>
        </w:rPr>
        <w:t>E. 1</w:t>
      </w:r>
    </w:p>
    <w:p>
      <w:r>
        <w:t>Le Tribunal de céans a déjà examiné les questions de sa compétence et de la recevabilité du recours dans son ordonnance du 15 septembre 2009, de sorte qu’il n’y a pas lieu d’y revenir ici.</w:t>
      </w:r>
    </w:p>
    <w:p>
      <w:r>
        <w:rPr>
          <w:b/>
        </w:rPr>
        <w:t>E. 2</w:t>
      </w:r>
    </w:p>
    <w:p>
      <w:r>
        <w:t>La LPGA est entrée en vigueur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24 septembre 2008, est postérieure à l'entrée en vigueur de la LPGA ainsi qu’à l'entrée en vigueur, le 1er janvier 2004, des modifications de la LAI du 21 mars 2003 (4ème révision) et à l'entrée en vigueur le 1er janvier 2008 des modifications de la LAI du 6 octobre 2006 (5ème révision).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w:t>
      </w:r>
    </w:p>
    <w:p>
      <w:r>
        <w:t>A/3842/2008 - 10/19 -</w:t>
      </w:r>
    </w:p>
    <w:p>
      <w:r>
        <w:rPr>
          <w:b/>
        </w:rPr>
        <w:t>E. 3</w:t>
      </w:r>
    </w:p>
    <w:p>
      <w:r>
        <w:t>La question qui se pose est de savoir si la recourante a droit à une rente d’invalidité en raison des atteintes à la santé dont elle souffre.</w:t>
      </w:r>
    </w:p>
    <w:p>
      <w:r>
        <w:rPr>
          <w:b/>
        </w:rPr>
        <w:t>E. 4</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w:t>
      </w:r>
    </w:p>
    <w:p>
      <w:r>
        <w:t>A/3842/2008 - 11/19 -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w:t>
      </w:r>
    </w:p>
    <w:p>
      <w:r>
        <w:rPr>
          <w:b/>
        </w:rPr>
        <w:t>E. 5</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w:t>
      </w:r>
    </w:p>
    <w:p>
      <w:r>
        <w:rPr>
          <w:b/>
        </w:rPr>
        <w:t>E. 6</w:t>
      </w:r>
    </w:p>
    <w:p>
      <w:r>
        <w:t>a) En vertu du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w:t>
      </w:r>
    </w:p>
    <w:p>
      <w:r>
        <w:t>A/3842/2008 - 12/19 -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b)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(cf. ATF 130 V 352 consid. 2.2.5). c) On ne saurait mettre sur le même pied un rapport d’expertise émanant d’un COMAI – dont la jurisprudence a admis que l’impartialité et l’indépendance à l’égard de l’administration et de l’Office fédéral des assurances sociales sont garantis (ATF 123 V 175) – et un rapport médical établi par le Service médical régional de l’assurance-invalidité (SMR) ; toutefois, cela ne signifie pas encore qu’en cas de divergence d’opinion entre médecins du SMR et médecins traitants, il est de manière générale nécessaire de mettre en œuvre une nouvelle expertise. La valeur probante des rapports médicaux des uns et des autres doit bien plutôt s’apprécier au regard des critères exposés précédemment (ATFA non publié du 24 août 2006, I 938/05, consid. 3.2).</w:t>
      </w:r>
    </w:p>
    <w:p>
      <w:r>
        <w:rPr>
          <w:b/>
        </w:rPr>
        <w:t>E. 7</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l’occurrence, la recourante a été soumise à un examen bidisciplinaire effectué par le Dr Q______, spécialiste en médecine interne et rhumatologie, et le</w:t>
      </w:r>
    </w:p>
    <w:p>
      <w:r>
        <w:t>A/3842/2008 - 13/19 - Dr R______, spécialiste en psychiatrie et psychothérapie, médecins auprès du SMR. Dans leur rapport du 31 mai 2006, ils ont diagnostiqué des douleurs de l’épaule droite dans le cadre d’une PSH avec tendinopathie du sus-épineux et d’une lésion osseuse bénigne de la glène droite, des rachialgies dans le cadre de troubles statiques et dégénératifs du rachis. En raison de ces atteintes, les examinateurs ont retenu une capacité de travail de 70% en tant qu’employée postale, et une capacité entière dans une activité adaptée, depuis le 31 janvier 2002. Ils ont précisé que le travail habituel de l’assurée ne nécessitait pas en permanence le lever de charges lourdes, qu’il comprenait également des travaux de bureau comme la comptabilité et qu’il ne nécessitait pas le lever ou l’abduction du membre supérieur droit à plus de 80°. L’assurée présentait également un trémor essentiel prédominant à la main droite, un status après quatre opérations oculaires pour strabisme et un trouble somatoforme indifférencié (F45.1), mais sans répercussion sur la capacité de travail. Le Tribunal de céans constate que le rapport des examinateurs se base tant sur des examens de la recourante que sur son dossier médical et radiologique. L'anamnèse est complète dès lors qu'elle se compose d'un volet familial, personnel et socio- professionnel et psychiatrique. Les plaintes sont également prises en considération. La description et l'appréciation de la situation médicale sont claires. Les examinateurs se sont exprimés sur l'évolution de l'état de santé, sur la capacité de travail et sur les limitations fonctionnelles, enfin, ils ont dûment expliqué et motivé leur point de vue. Leurs conclusions sont cohérentes et convaincantes. La recourante fait valoir que les examinateurs n’ont pas pris en compte la fibromyalgie ni les tremblements dont elle souffre. Elle se fonde pour cela sur les conclusions de la Dresse N______, du Dr M______ et de la Dresse V______. Le Tribunal de céans relèvera que les examinateurs ont constaté que la recourante présente un trémor essentiel prédominant à la main droite, un status après quatre opérations oculaires pour strabisme et un trouble somatoforme indifférencié (F45.1). Cela étant, contrairement à l’avis des médecins consultés par la recourante, les examinateurs ont considéré que le tremor peut être parfaitement réprimé par la volonté. En outre, ils ont précisé, de manière convaincante, que s’agissant de la discordance entre leur appréciation et celle de la Dresse N______, concernant le degré de la capacité de travail de la recourante, elle pouvait être occasionnée par la présence des troubles somatoformes indifférenciés que le médecin traitant n’avait pas retenus et qui entraînaient certainement une amplification de la symptomatologie douloureuse et fonctionnelle (rapport du 31 mai 2006, p. 9). Quant à l’appréciation succincte et peu motivée de la capacité de travail émise par le Dr M______ dans ses rapports des 5 novembre 2003 et 16 octobre 2008 ainsi que par la Dresse V______ dans son rapport du 24 juin 2009, on relèvera que celle-ci n’est pas suffisante à écarter les conclusions des examinateurs. Ceux-ci ont en effet considéré que le travail de la recourante ne nécessite pas en permanence le lever de</w:t>
      </w:r>
    </w:p>
    <w:p>
      <w:r>
        <w:t>A/3842/2008 - 14/19 - charges lourdes, qu’il comprend également des travaux de bureau comme la comptabilité et, enfin, qu’il ne nécessite pas le lever ou l’abduction du membre supérieur droit à plus de 80°, ce que la recourante ne conteste au demeurant pas. Il ne ressort donc pas des rapports versés à la procédure d’éléments concrets susceptibles de remettre en cause les conclusions des examinateurs quant aux troubles dont souffre la recourante, de sorte qu’il y a lieu de constater que leur rapport remplit toutes les conditions jurisprudentielles permettant de lui reconnaître une pleine force probante à cet égard. C’est par conséquent à juste titre que l’intimé a retenu une capacité de travail de 70% dans l’activité habituelle.</w:t>
      </w:r>
    </w:p>
    <w:p>
      <w:r>
        <w:rPr>
          <w:b/>
        </w:rPr>
        <w:t>E. 9</w:t>
      </w:r>
    </w:p>
    <w:p>
      <w:r>
        <w:t>Reste à déterminer le degré d’invalidité que présente la recourante. Selon l’art. 28 al. 1er LAI dans sa teneur en vigueur jusqu’au 31 décembre 2003, l’assuré a droit à une rente entière s’il est invalide à 66 2/3% au moins, à une demi- rente s’il est invalide à 50% au moins, ou à un quart de rente s’il est invalide à 40% au moins ; dans les cas pénibles, l’assuré peut, d’après l’art. 28 al. 1bis LAI, prétendre à une demi-rente s’il est invalide à 40% au moins. Dès le 1er janvier 2004, l’assuré a droit à une rente entière s’il est invalide à 70 % au moins, à un trois- quarts de rente s'il est invalide à 60 % au moins, à une demi-rente s’il est invalide à 50 % au moins, ou à un quart de rente s’il est invalide à 40 % au moins. En vertu de l’art. 28a LAI, l’art. 16 LPGA s’applique à l’évaluation de l’invalidité des assurés exerçant une activité lucrative (al. 1er). L’invalidité de l’assuré qui n’exerce pas d’activité lucrative et dont on ne peut raisonnablement exiger qu’il en entreprenne une est évaluée, en dérogation à l’art. 16 LPGA, en fonction de son incapacité à accomplir ses travaux habituels (al. 2).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 le taux d’invalidité est calculé dans les deux domaines d’activité (al. 3). Toutefois, lorsqu’il y a lieu d’admettre que si l’assuré ne souffrait d’aucune atteinte à la santé, il exercerait, au moment de l’examen de son droit à la rente, une activité lucrative à temps complet, l’invalidité est évaluée exclusivement selon les principes applicables aux personnes exerçant une activité lucrative (art. 27bis RAI).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w:t>
      </w:r>
    </w:p>
    <w:p>
      <w:r>
        <w:t>A/3842/2008 - 15/19 -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150 consid. 2c, 117 V 194 consid. 3b et les références). L’empêchement d’accomplir les travaux habituels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 ATFA non publiés du 6 septembre 2004, I 249/04, consid. 5.1.1 et du 26 juillet 2004, I 155/04, consid. 3.2).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Enfin, pour satisfaire à l’obligation de réduire le dommage (cf. ATF 123 V 233 consid. 3c et les références), une personne qui s’occupe du ménage doit faire ce que</w:t>
      </w:r>
    </w:p>
    <w:p>
      <w:r>
        <w:t>A/3842/2008 - 16/19 -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qu’on peut attendre de celles-ci, si la personne assurée n’est pas atteinte dans sa santé (ATFA non publiés du 8 novembre 1993, I 407/92 et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 BLASER, Rechtsprechung des Bundesgerichts zum IVG, Zurich 1997, p. 222).</w:t>
      </w:r>
    </w:p>
    <w:p>
      <w:r>
        <w:rPr>
          <w:b/>
        </w:rPr>
        <w:t>E. 10</w:t>
      </w:r>
    </w:p>
    <w:p>
      <w:r>
        <w:t>En l’occurrence, la recourante a indiqué le 23 avril 2007 que, sans l'atteinte à sa santé, elle aurait travaillé à 50% dès 2004. C'est donc à juste titre que l'intimé a appliqué, dans sa décision litigieuse, la méthode mixte, ce que la recourante ne conteste au demeurant plus. S’agissant de l’enquête ménagère, la recourante ne conteste pas la pondération des différents champs d’activité contenue dans le rapport d’enquête du 23 avril 2007, mais l’appréciation des degrés d’empêchement, considérant ceux-ci comme largement inférieurs à la réalité. Il résulte du rapport d’enquête que s’agissant du poste « alimentation », le mari de la recourante doit l’aider notamment pour éplucher les légumes et pour soulever un récipient trop lourd. Elle peut remettre sa cuisine en ordre et donner un coup de balai et de serpillière. Elle ne peut plus lessiver sa cuisine, nettoyer les murs, déplacer les meubles et nettoyer les armoires. L’empêchement retenu dans ce poste était de 30%. Pour le poste « entretien du logement », l’enquêtrice a noté que l’aspirateur est passé par un membre de la famille, que la recourante nettoie les sanitaires superficiellement. Les enfants se chargent de l’entretien de leur chambre, la recourante se repose fréquemment entre deux activités et la mère de la recourante l’aide pour changer la literie. L’empêchement a été évalué à 40%. S’agissant des « emplettes et courses », la recourante doit être accompagnée par son mari car elle ne peut pas soulever et porter de trop lourdes charges, ni rester en station debout à</w:t>
      </w:r>
    </w:p>
    <w:p>
      <w:r>
        <w:t>A/3842/2008 - 17/19 - faire la queue à la caisse. La recourante conduit et peut faire les emplettes en ville, mais ne reste que le temps nécessaire. Elle continue de se charger des affaires administratives, mais doit interrompre souvent son travail informatique. Un empêchement de 10% a été retenu. Concernant la « lessive et l’entretien des vêtements », l’empêchement était évalué à 20%, attendu que la recourante a besoin d’aide pour descendre et remonter le linge de la buanderie, pour étendre le linge. Sans aide, elle se débrouille tant bien que mal. Sa mère repasse la plus grande partie de son linge. La recourante repasse en position assise 15 à 20 minutes à la fois et peut se charger du raccommodage. S’agissant du poste « soins aux enfants et autres membres de la famille », l’enquêtrice n’a retenu aucun empêchement, vu l’âge des enfants. Enfin, dans le poste « divers », un empêchement de 70% a été retenu, la recourante ne pouvant pas s’occuper du jardin, mais se charge des deux chats, se rend une fois par semaine dans un club de patchwork. Elle a dû abandonner la pratique de l’aérobic, de la natation, de la gymnastique jazz, et ne fait maintenant que du « walking », une fois par semaine. Force est de constater que s'agissant des empêchements de la recourante à assurer son ménage, l'enquête ménagère a été diligentée de manière détaillée et convaincante. Dans chacun des postes, l’enquêtrice a pris en compte les empêchements de la recourante ainsi que l’aide exigible des membres de la famille, étant précisé que le logement est situé dans le bâtiment scolaire où l’époux de la recourante travaille - de sorte qu’il peut la seconder plus facilement que si son lieu de travail était éloigné du domicile -, que les enfants sont âgés de 24 ans, 22 ans et 16 ans et qu’enfin, la recourante est également aidée par sa mère. Enfin, après avoir exposé les atteintes à la santé de l’assurée, l’enquêtrice a expliqué, pour chaque poste, les raisons qui justifiaient les divers degrés d’empêchement retenus. Le contenu du rapport est ainsi motivé et plausible. Le rapport d’enquête concorde par ailleurs avec les constatations faites par les examinateurs s’agissant des limitations fonctionnelles dont souffre la recourante. Il n'y a en l'état aucun élément permettant de douter des conclusions de ladite enquête, laquelle a pleine valeur probante. La recourante fait valoir que la fibromyalgie n’a pas été prise en compte dans ses difficultés quotidiennes. Or, comme l’a relevé à juste titre le Dr T______ dans son avis du 23 septembre 2008, le handicap ménager doit être apprécié compte tenu uniquement de l’atteinte à l’épaule droite et au rachis, à l’exclusion du syndrome douloureux somatoforme, lequel n’entraîne aucune répercussion sur la capacité de travail de la recourante. La recourante invoque également le fait qu’ils ne sont plus que trois à la maison au lieu de cinq personnes. On relèvera cependant que ce fait a également été pris en compte par l’enquêtrice, laquelle a précisé, à juste titre, que le départ de deux des enfants soulagera la recourante dans les travaux à effectuer.</w:t>
      </w:r>
    </w:p>
    <w:p>
      <w:r>
        <w:t>A/3842/2008 - 18/19 - Ainsi, au regard des empêchements dans les travaux habituels évalués à 30%, la recourante subit une invalidité ménagère de 15 % (50 % x 30 %). S’agissant de l’invalidité dans la sphère professionnelle, le Tribunal de céans rappellera que lorsqu’il ne peut plus, en raison d’une atteinte à la santé, exercer son activité habituelle que dans une mesure réduite, un assuré ne subit pas d’incapacité de gain tant que sa capacité résiduelle est plus étendue ou égale au taux d’activité qu’il exercerait sans atteinte à la santé. Par exemple, malgré une incapacité de travail médico-théorique de 50%, on peut raisonnablement exiger d’un assuré qu’il exerce, sans limitation, l’activité accomplie avant la survenance de l’atteinte à la santé à raison d’un horaire de travail de 40% ; dans ce cas, il n’existe pas d’invalidité pour la part de l’activité lucrative (ATF 125 V 146 consid. 5a). En l’occurrence, étant donné que la capacité de travail de la recourante est de 70% dans son activité habituelle - laquelle aurait été exercée à 50% sans atteinte à la santé -, il s’ensuit qu’elle ne présente aucun degré d’invalidité dans la sphère professionnelle. Eu égard aux considérations qui précèdent, il apparaît que le taux d'invalidité que présente la recourante, soit 15%, n'atteint pas un niveau suffisant pour ouvrir droit à une rente. C’est par conséquent à juste titre que l’intimé a refusé à la recourante l’octroi d’une rente d’invalidité. Par ailleurs, étant donné que la recourante ne souhaite plus poursuivre dans sa demande de réinsertion professionnelle, il n’y a pas lieu en l’état de statuer sur cette question.</w:t>
      </w:r>
    </w:p>
    <w:p>
      <w:r>
        <w:rPr>
          <w:b/>
        </w:rPr>
        <w:t>E. 11</w:t>
      </w:r>
    </w:p>
    <w:p>
      <w:r>
        <w:t>Le recours est donc rejeté. L'émolument de justice, fixé à 500 fr., est mis à la charge de la recourante qui succombe.</w:t>
      </w:r>
    </w:p>
    <w:p>
      <w:r>
        <w:t>A/3842/2008 - 19/19 -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