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ATAS/53/2022 vom 26. Januar 2022</w:t>
      </w:r>
    </w:p>
    <w:p>
      <w:r>
        <w:t>GE Cour de justice, 2022-01-26, FR</w:t>
      </w:r>
    </w:p>
    <w:p>
      <w:r>
        <w:rPr>
          <w:b/>
        </w:rPr>
        <w:t xml:space="preserve">Quelle: </w:t>
      </w:r>
      <w:r>
        <w:t>https://mcp.opencaselaw.ch/entscheid/ge_gerichte_ATAS_53_2022</w:t>
      </w:r>
    </w:p>
    <w:p>
      <w:r>
        <w:t>FR: GE_GERICHTE ATAS/53/2022 du 26 janvier 2022</w:t>
      </w:r>
    </w:p>
    <w:p>
      <w:r>
        <w:t>IT: GE_GERICHTE ATAS/53/2022 del 26 gennaio 2022</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1er novembre 2012.</w:t>
      </w:r>
    </w:p>
    <w:p>
      <w:r>
        <w:t>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Interjeté dans les formes et délais légaux, le recours est recevable (art. 43 LPCC et 89B de la loi sur la procédure administrative du 12 septembre 1985; LPA - E 5 10).</w:t>
      </w:r>
    </w:p>
    <w:p>
      <w:r>
        <w:rPr>
          <w:b/>
        </w:rPr>
        <w:t>E. 4</w:t>
      </w:r>
    </w:p>
    <w:p>
      <w:r>
        <w:t>Le litige porte sur l'imputation d'une pension alimentaire potentielle dans le calcul des prestations complémentaires familiales, le montant de celle-ci n'étant plus contesté et les éléments de fortune retenus ne l'étant plus non plus.</w:t>
      </w:r>
    </w:p>
    <w:p>
      <w:r>
        <w:rPr>
          <w:b/>
        </w:rPr>
        <w:t>E. 5.1</w:t>
      </w:r>
    </w:p>
    <w:p>
      <w:r>
        <w:t>Dans le canton de Genève, selon l'art. 1 al. 2 LPCC, les familles avec enfant(s) ont droit à un revenu minimum cantonal d'aide sociale, qui leur est garanti par le versement de prestations complémentaires cantonales pour les familles. Selon l'art. 36A LPCC dans sa teneur au 1er août 2020, ont droit aux prestations complémentaires familiales les personnes qui, cumulativement, ont leur domicile et leur résidence habituelle sur le territoire de la République et canton de Genève depuis 5 ans au moins au moment du dépôt de la demande de prestations (let. a); vivent en ménage commun avec des enfants de moins de 18 ans, respectivement 25 ans si l'enfant poursuit une formation donnant droit à une allocation de formation professionnelle au sens de l'art. 3 al. 1 let. b de la loi fédérale sur les allocations familiales du 24 mars 2006 (let. b) ; exercent une activité lucrative salariée (let. c); ne font pas l'objet d'une taxation d'office par l'administration fiscale cantonale (let. d) et répondent aux autres conditions prévues par la LPCC (let. e).</w:t>
      </w:r>
    </w:p>
    <w:p>
      <w:r>
        <w:t>A/1688/2021 - 5/9 - Les enfants du conjoint de l'ayant droit sont considérés comme enfants au sens de l'art. 36A al. 1 let. b (art. 36A al. 2 let. b LPCC). Selon l'art 36D LPCC, le montant annuel des prestations complémentaires familiales correspond à la part des dépenses reconnues au sens de l'art. 36F qui excède le revenu déterminant au sens de l'art. 36E, mais ne doit pas dépasser le montant prévu à l'art. 15 al. 2 (al. 1). Les dépenses reconnues et les revenus déterminants des membres du groupe familial sont additionnés (al. 2). Les prestations périodiques en cours, telles que les pensions alimentaires et contributions d'entretien sont déterminants pour la fixation de la prestation complémentaire annuelle (art. 23 al. 1 let. b du règlement relatif aux prestations complémentaires familiales du 27 juin 2012 (RPCFam - J 4 25.04).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Selon l'exposé des motifs relatif à cette disposition,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SCARPA. Dans ces cas, le calcul de sa prestation complémentaire familiale prendra en compte une pension hypothétique de CHF 673.- par mois et par enfant et de CHF 833.- par mois pour le conjoint. Cette disposition ne serait pas applicable lorsque le créancier d'une pension alimentaire est dans l'impossibilité de la réclamer (par exemple lorsque le débiteur est parti pour une destination inconnue) » (PL 10600, MGC 2009-2010 III A 2852).</w:t>
      </w:r>
    </w:p>
    <w:p>
      <w:r>
        <w:t>Lorsqu'un ayant droit ou un membre du groupe familial renonce à des éléments de revenus ou renonce à faire valoir un droit à un revenu, il est tenu compte d'un revenu hypothétique, conformément à l'art. 11 al. 1 let. g LPC (art. 19 al. 1 RPCFam ). Selon la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w:t>
      </w:r>
    </w:p>
    <w:p>
      <w:r>
        <w:t>A/1688/2021 - 6/9 -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ATAS/775/2013 du 19 août 2013 consid. 7).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 p. 208). Sur demande, le SCARPA aide de manière adéquate et gratuitement tout créancier d’une pension alimentaire en vue d’obtenir l’exécution des prestations fondées sur un jugement ou sur une promesse juridiquement valable (art. 2 al. 1 de la loi sur l’avance et le recouvrement des pensions alimentaires du 22 avril 1977 - LARPA - E 1 25). Le créancier signe une convention par laquelle il donne mandat au service d’intervenir (al. 2). Ladite convention n’a pas d’effets rétroactifs (al. 3).</w:t>
      </w:r>
    </w:p>
    <w:p>
      <w:r>
        <w:t>Selon la jurisprudence, l’échec des procédures de recouvrement engagées ou le domicile à l’étranger du débiteur ne sont pas des motifs permettant au SCARPA de mettre fin unilatéralement à son assistance, à tout le moins lorsque le domicile est connu et que l’État de résidence est, à l’instar de la Suisse, de l'Équateur et des États-Unis, signataire de la Convention sur le recouvrement des aliments à l’étranger, conclue à New-York le 20 juin 1956 (Convention de New-York - RS 0.274.15) et que le SCARPA ne mentionne pas avoir entrepris de démarche auprès des autorités suisses compétentes en vue de faire activer les mécanismes de recouvrement prévus par la Convention de New-York (ATA/880/2016 du 18 octobre 2016 consid. 2).</w:t>
      </w:r>
    </w:p>
    <w:p>
      <w:r>
        <w:rPr>
          <w:b/>
        </w:rPr>
        <w:t>E. 5.2</w:t>
      </w:r>
    </w:p>
    <w:p>
      <w:r>
        <w:t>Le juge des assurances sociales fonde sa décision, sauf dispositions contraires de la loi, sur les faits qui, faute d'être établis de manière irréfutable,</w:t>
      </w:r>
    </w:p>
    <w:p>
      <w:r>
        <w:t>A/1688/2021 - 7/9 -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U 344 p. 418 consid. 3).</w:t>
      </w:r>
    </w:p>
    <w:p>
      <w:r>
        <w:rPr>
          <w:b/>
        </w:rPr>
        <w:t>E. 6</w:t>
      </w:r>
    </w:p>
    <w:p>
      <w:r>
        <w:t>Pour le surplus, la procédure est gratuite (art. 61 let. fbis a contrario LPGA et 89H al. 4 LPA).</w:t>
      </w:r>
    </w:p>
    <w:p>
      <w:r>
        <w:t>A/1688/2021 - 9/9 -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