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ATAS/53/2018 vom 23. Januar 2018</w:t>
      </w:r>
    </w:p>
    <w:p>
      <w:r>
        <w:t>GE Cour de justice, 2018-01-23, FR</w:t>
      </w:r>
    </w:p>
    <w:p>
      <w:r>
        <w:rPr>
          <w:b/>
        </w:rPr>
        <w:t xml:space="preserve">Quelle: </w:t>
      </w:r>
      <w:r>
        <w:t>https://mcp.opencaselaw.ch/entscheid/ge_gerichte_ATAS_53_2018</w:t>
      </w:r>
    </w:p>
    <w:p>
      <w:r>
        <w:t>FR: GE_GERICHTE ATAS/53/2018 du 23 janvier 2018</w:t>
      </w:r>
    </w:p>
    <w:p>
      <w:r>
        <w:t>IT: GE_GERICHTE ATAS/53/2018 del 23 gennaio 2018</w:t>
      </w:r>
    </w:p>
    <w:p>
      <w:pPr>
        <w:pStyle w:val="Heading2"/>
      </w:pPr>
      <w:r>
        <w:t>Erwägungen</w:t>
      </w:r>
    </w:p>
    <w:p>
      <w:r>
        <w:rPr>
          <w:b/>
        </w:rPr>
        <w:t>E. 8</w:t>
      </w:r>
    </w:p>
    <w:p>
      <w:r>
        <w:t>Du questionnaire relatif au statut rempli par l’assurée le 23 février 2017, il résulte que sans atteinte à la santé, elle aurait exercé une activité lucrative comme vendeuse à 80%. Elle n’a toutefois pas entrepris de démarches concrètes pour une recherche d’emploi. Si elle avait trouvé un travail, elle avait prévu que son enfant, né le ______ 2011, aurait été gardé par sa mère présente en Suisse neuf mois par année.</w:t>
      </w:r>
    </w:p>
    <w:p>
      <w:r>
        <w:rPr>
          <w:b/>
        </w:rPr>
        <w:t>E. 9</w:t>
      </w:r>
    </w:p>
    <w:p>
      <w:r>
        <w:t>L’OAI a transmis à l’assurée le 1er mars 2017 un projet de décision aux termes duquel sa demande était rejetée, au motif que l’empêchement dans l’accomplissement du ménage résultant de l’enquête, qui était de 3%, était insuffisant pour ouvrir le droit à une rente AI.</w:t>
      </w:r>
    </w:p>
    <w:p>
      <w:r>
        <w:rPr>
          <w:b/>
        </w:rPr>
        <w:t>E. 10</w:t>
      </w:r>
    </w:p>
    <w:p>
      <w:r>
        <w:t>Par courrier du 31 mars 2017, le Dr B______, faisant suite à ce projet de décision, a informé l’OAI que sa patiente souffrait toujours d’un épisode dépressif d’intensité moyenne traitée par un antidépresseur à faible dose en raison d’un contexte d’hypersensibilité (suivi allergologique aux HUG) et aussi par une psychothérapie régulière assurée par le Dr D______. Il ajoute que c’est cette pathologie dépressive chronique qui est à l’origine de l’incapacité totale de travail. Il a joint à son courrier une attestation du Dr D______ datée du 16 mars 2017, selon laquelle l’assurée présente une dépression d’intensité moyenne et des troubles d’endormissement. Son contexte de vie actuel (somatique notamment) contribue aussi fortement à son anxiété et au maintien de ses symptômes dépressifs. Son humeur est donc encore instable et souffre encore de troubles de la concentration et d’une certaine irritabilité et anxiété qui l’empêchent actuellement de pouvoir assumer une activité habituelle.</w:t>
      </w:r>
    </w:p>
    <w:p>
      <w:r>
        <w:rPr>
          <w:b/>
        </w:rPr>
        <w:t>E. 11</w:t>
      </w:r>
    </w:p>
    <w:p>
      <w:r>
        <w:t>Par décision du 7 avril 2017, l’OAI a confirmé son projet de décision.</w:t>
      </w:r>
    </w:p>
    <w:p>
      <w:r>
        <w:rPr>
          <w:b/>
        </w:rPr>
        <w:t>E. 12</w:t>
      </w:r>
    </w:p>
    <w:p>
      <w:r>
        <w:t>L’assurée, représentée par Me Diane BROTO, a interjeté recours le 5 mai 2017 contre ladite décision. Elle a complété son recours le 30 juin 2017, concluant à l’octroi d’une rente AI dont le degré devra être fixé après investigations complémentaires et mesures de reclassement professionnel afin de pouvoir exploiter au mieux son éventuelle capacité de travail résiduelle. Elle explique que c’est suite à son accouchement, en juillet 2011, qu’elle a souffert d’importants problèmes de santé, soit d’importants maux de tête et des évanouissements, qui l’ont empêchée de reprendre une activité professionnelle. Elle rappelle les conclusions des rapports des Drs B______ et D______, reprochant à l’OAI de s’être exclusivement fondé sur les diagnostics retenus par le médecin du SMR. Elle conteste par ailleurs devoir être considérée comme ménagère, soulignant que dans le cadre de l’enquête économique sur le ménage, elle avait clairement exprimé sa volonté d’exercer une activité lucrative si son état de santé le lui avait permis.</w:t>
      </w:r>
    </w:p>
    <w:p>
      <w:r>
        <w:t>A/1644/2017 - 5/13 -</w:t>
      </w:r>
    </w:p>
    <w:p>
      <w:r>
        <w:rPr>
          <w:b/>
        </w:rPr>
        <w:t>E. 13</w:t>
      </w:r>
    </w:p>
    <w:p>
      <w:r>
        <w:t>Dans sa réponse du 4 septembre 2017, l’OAI a conclu au rejet du recours. Il considère que c’est à juste titre qu’il a retenu un statut ménager à 100% dès lors que, sans atteinte à la santé, l’assurée aurait, selon la vraisemblance prépondérante, continué à être femme au foyer par choix personnel. La situation familiale et financière ne s’était pas modifiée depuis l’atteinte à la santé. Aucune recherche de travail n’avait été faite, ni avant sa grossesse, ni après. La déclaration selon laquelle elle aurait travaillé à 80% n’est ainsi corroborée par aucun élément objectif au dossier. L’OAI rappelle que selon l’enquête ménagère effectuée le 23 février 2017, laquelle n’est du reste pas contestée, l’empêchement est de l’ordre de 3% avec exigibilité. Cette enquête doit se voir reconnaître pleine valeur probante conformément à la jurisprudence y relative (ATF130 V 61 consid. 6.2 ; ATF125 V 351 consid. 3b/ee).</w:t>
      </w:r>
    </w:p>
    <w:p>
      <w:r>
        <w:rPr>
          <w:b/>
        </w:rPr>
        <w:t>E. 14</w:t>
      </w:r>
    </w:p>
    <w:p>
      <w:r>
        <w:t>Dans sa réplique du 4 octobre 2017, l’assurée relève qu’aucune question ne figure dans la demande de prestations qu’elle a remplie le 16 décembre 2015, qui soit relative à l’activité qu’elle aurait exercée si elle avait été en bonne santé. Aussi l’OAI ne saurait-il se fonder sur ce formulaire pour en conclure qu’elle avait continué à être femme au foyer par choix personnel. Elle souligne qu’en revanche, dès que la question lui a été posée, soit dans le questionnaire « statut de l’enquête ménagère », elle avait clairement indiqué qu’elle travaillerait à 80% sans atteinte à la santé. Selon l’assurée, la contradiction entre faits et analyses rend les résultats du rapport d’enquête ménagère sans force probante (9C_907/2011). Enfin, elle indique que l’OAI ne lui a jamais demandé de produire la preuve de ses recherches d’emploi, alors qu’il appartenait à cet office d’instruire le dossier conformément à l’art. 43 al. 1 LPGA.</w:t>
      </w:r>
    </w:p>
    <w:p>
      <w:r>
        <w:rPr>
          <w:b/>
        </w:rPr>
        <w:t>E. 15</w:t>
      </w:r>
    </w:p>
    <w:p>
      <w:r>
        <w:t>Dans sa duplique du 19 octobre 2017, l’OAI a persisté dans ses conclusions répétant qu’aucun élément du dossier ne venait démontrer un statut au niveau professionnel de 80% et précisant par ailleurs que l’assurée avait expressément admis ne pas avoir procédé à des recherches d’emploi.</w:t>
      </w:r>
    </w:p>
    <w:p>
      <w:r>
        <w:rPr>
          <w:b/>
        </w:rPr>
        <w:t>E. 16</w:t>
      </w:r>
    </w:p>
    <w:p>
      <w:r>
        <w:t>Ce courrier a été transmis à l’assurée et la cause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délai de recours est de 30 jours (art. 60 al. 1 LPGA). Interjeté dans la forme et le délai prévus par la loi, le recours est recevable, en vertu des art. 56ss LPGA.</w:t>
      </w:r>
    </w:p>
    <w:p>
      <w:r>
        <w:t>A/1644/2017 - 6/13 - 3. Le litige porte sur le droit de la recourante à une rente d’invalidité, singulièrement sur la détermination de son statut.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w:t>
      </w:r>
    </w:p>
    <w:p>
      <w:r>
        <w:t>A/1644/2017 - 7/13 - talents personnels (ATF 137 V 334 consid. 3.2; ATF 117 V 194 consid. 3b; Pratique VSI 1997 p. 301 ss consid. 2b ; arrêt du Tribunal fédéral 9C_722/2016 du</w:t>
      </w:r>
    </w:p>
    <w:p>
      <w:r>
        <w:rPr>
          <w:b/>
        </w:rPr>
        <w:t>E. 17</w:t>
      </w:r>
    </w:p>
    <w:p>
      <w:r>
        <w:t>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du 14 octobre 2014 9C 352/2014).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du 9 août 2013 9C 260/2013). Par ailleurs, le Tribunal Fédéral a considéré qu’en indiquant dans sa demande de prestations qu’elle était femme au foyer, l’assurée n’exposait pas quelle aurait été son activité hypothétique sans atteinte à la santé, mais décrivait quelle était sa situation effective (ATF du 27 septembre 2013 9C 435/2013). 7. Selon l'arrêt de la Cour européenne des droits de l'homme [CourEDH] Di Trizio contre Suisse du 2 février 2016 (n° 7186/09), l'application dans l'assurance- 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On ne saurait déduire des considérants de l'arrêt de la CourEDH que la méthode mixte d'évaluation de l'invalidité « viole la Convention » sans égard à la situation concrète dont avait à juger la CourEDH (arrêt du Tribunal fédéral 9C_473/2016,</w:t>
      </w:r>
    </w:p>
    <w:p>
      <w:r>
        <w:t>A/1644/2017 - 8/13 -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 8.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w:t>
      </w:r>
    </w:p>
    <w:p>
      <w:r>
        <w:t>A/1644/2017 - 9/13 -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Ce principe est dû notamment au fait que le professionnel ayant mené l’enquête est plus proche de la situation concrète des faits que ne l’est le tribunal compétent (ATF 128 V 93). Même si, compte tenu de sa nature, l’enquête économique sur le ménage est en premier lieu un moyen approprié pour évaluer l’étendue d’empêchements dus à des limitations physiques, elle garde cependant lorsqu’il s’agit d’estimer les empêchements que l’intéressé rencontre dans ses activités habituelles en raison de troubles d’ordre psychique. Cependant,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 108/2009 du 29 octobre 2009 consid. 4.1).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A/1644/2017 - 10/13 -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A/1644/2017 - 11/13 - V 193 consid. 2). Aussi n’existe-t-il pas, en droit des assurances sociales, un principe selon lequel l’administration ou le juge devrait statuer, dans le doute, en faveur de l’assuré (ATF 126 V 319 consid. 5a). 12.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13. En l’espèce, l’OAI a retenu un statut ménager à 100%, considérant que, sans atteinte à la santé, l’assurée aurait, selon la vraisemblance prépondérante, continué à être femme au foyer par choix personnel. L’assurée conteste ce statut, rappelant que dans le questionnaire relatif à son statut, elle avait clairement indiqué qu’elle travaillerait à 80% sans atteinte à la santé. Il ne suffit cependant pas de le déclarer pour que le statut d’active à 80% soit pris en considération. Il est nécessaire qu’il puisse être déduit d'indices extérieurs établis au degré de la vraisemblance prépondérante tel que requis en droit des assurances sociales. 14. En l’occurrence, l’assurée a travaillé comme danseuse à son arrivée en Suisse. Elle a ensuite été, dès novembre 2010, engagée comme vendeuse dans un magasin d’alimentation, à 50%. Elle a cessé toute activité lucrative en mars 2010, date à laquelle ce magasin a fait faillite. L’assurée a elle-même expliqué qu’à ce moment-là, elle n’avait pas cherché un nouvel emploi, car la situation financière de son mari lui permettait de rester à la maison. Elle était alors en bonne santé. Ce n’est en effet qu’après son accouchement qu’elle se plaint d’importants maux de tête et eu des évanouissements. Elle n’allègue ainsi pas avoir effectué de recherches d’emploi de mars 2010 jusqu’au début de sa grossesse, - qualifiée de difficile -, soit jusqu’à novembre 2010. Sa situation étant restée la même, on peine à comprendre la déclaration de l’assurée selon laquelle elle aurait travaillé à 80%. Il convient par ailleurs de relever qu’elle n’a jamais exercé d’activité lucrative à plein temps, et n’a pas cherché non plus à augmenter son temps de travail lorsqu’elle était vendeuse à 50%. Il y a donc lieu de retenir un statut ménager. 15. Une enquête évaluant les empêchements rencontrés par l’assurée dans la sphère ménagère a été réalisée à son domicile le 23 février 2017. L’enquête a pleine valeur probante. La chambre de céans constate que l’enquête économique sur le ménage a été effectuée par une personne qualifiée au domicile de l’assurée. L’infirmière a</w:t>
      </w:r>
    </w:p>
    <w:p>
      <w:r>
        <w:t>A/1644/2017 - 12/13 - rappelé les atteintes à la santé dont elle souffre. Elle a relaté avec précision les indications de l’assurée concernant les tâches qu’elle accomplissait personnellement avant son atteinte à la santé, celles qu’elle continue à effectuer depuis lors, seule ou avec l’aide des membres de sa famille, et celles qu’elle doit dorénavant déléguer à ses proches. L’enquêtrice a dûment motivé son appréciation quant aux empêchements dans les différents champs d’activité et l’aide exigible des proches. L’assurée remet en cause la valeur probante de l’enquête ménagère sans toutefois préciser quel(s) poste(s) elle conteste. Elle n’apporte ainsi aucun élément permettant de remettre en cause les chiffres retenus par l’enquêtrice. L’exigibilité prise en considération est non seulement conforme à ce que la jurisprudence permet d’exiger de la part de l’entourage de la personne atteinte dans sa santé, mais correspond en outre vraisemblablement à l’aide effective des membres de la famille. Contrairement à ce que soutient l’assurée, il n’existe pas de divergences entre l’enquête ménagère et les avis médicaux. Les descriptions de l’enquêtrice ne sont pas contradictoires avec celles ressortant des pièces médicales du dossier. Au vu de ce qui précède, il n’y a pas de motif de remettre en cause le taux retenu par l’enquêtrice. Il résulte de l’enquête ménagère un empêchement pondéré de 3% avec exigibilité, taux insuffisant pour ouvrir le droit à des prestations AI. Aussi le recours ne peut-il être que rejeté.</w:t>
      </w:r>
    </w:p>
    <w:p>
      <w:r>
        <w:t>A/1644/2017 - 13/13 -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