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ATAS/539/2025 vom 6. Juli 2011</w:t>
      </w:r>
    </w:p>
    <w:p>
      <w:r>
        <w:t>GE Cour de justice, 2011-07-06, FR</w:t>
      </w:r>
    </w:p>
    <w:p>
      <w:r>
        <w:rPr>
          <w:b/>
        </w:rPr>
        <w:t xml:space="preserve">Quelle: </w:t>
      </w:r>
      <w:r>
        <w:t>https://mcp.opencaselaw.ch/entscheid/ge_gerichte_ATAS_539_2025</w:t>
      </w:r>
    </w:p>
    <w:p>
      <w:r>
        <w:t>FR: GE_GERICHTE ATAS/539/2025 du 6 juillet 2011</w:t>
      </w:r>
    </w:p>
    <w:p>
      <w:r>
        <w:t>IT: GE_GERICHTE ATAS/539/2025 del 6 luglio 2011</w:t>
      </w:r>
    </w:p>
    <w:p>
      <w:pPr>
        <w:pStyle w:val="Heading2"/>
      </w:pPr>
      <w:r>
        <w:t>Erwägungen</w:t>
      </w:r>
    </w:p>
    <w:p>
      <w:r>
        <w:rPr>
          <w:b/>
        </w:rPr>
        <w:t>E. 1.1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w:t>
      </w:r>
    </w:p>
    <w:p>
      <w:r>
        <w:t>- 6/9 - contestations prévues à l'art. 38A de la loi cantonale sur les allocations familiales du 1er mars 1996 (LAF - J 5 10). Sa compétence pour juger du cas d’espèce est ainsi établie.</w:t>
      </w:r>
    </w:p>
    <w:p>
      <w:r>
        <w:rPr>
          <w:b/>
        </w:rPr>
        <w:t>E. 1.2</w:t>
      </w:r>
    </w:p>
    <w:p>
      <w:r>
        <w:t>Selon l'art. 2B LAF, les prestations prévues par la LAF sont régies par la LAFam et ses dispositions d'exécution (let. a) ; la LPGA et ses dispositions d'exécution, dans la mesure où la LAFam ou la LAF y renvoie (let. b) ; la loi fédérale sur l'assurance-vieillesse et survivants du 20 décembre 1946 et ses dispositions d'exécution, dans la mesure où la LAFam ou la LAF y renvoie (let. c) ; la LAF et ses dispositions d'exécution (let. d). Interjeté dans les forme et délai prévus par la loi, le recours est recevable (art. 56 ss LPGA et 38A LAF).</w:t>
      </w:r>
    </w:p>
    <w:p>
      <w:r>
        <w:rPr>
          <w:b/>
        </w:rPr>
        <w:t>E. 2</w:t>
      </w:r>
    </w:p>
    <w:p>
      <w:r>
        <w:t>Le présent arrêt porte que sur la demande de restitution de l’effet suspensif et de mesures provisionnelles du recourant.</w:t>
      </w:r>
    </w:p>
    <w:p>
      <w:r>
        <w:rPr>
          <w:b/>
        </w:rPr>
        <w:t>E. 3</w:t>
      </w:r>
    </w:p>
    <w:p>
      <w:r>
        <w:t>La chambre de céans constate que la décision du 13 février 2023 précisait qu’une opposition n’aurait pas d’effet suspensif, ce qui ressort de la copie de cette décision produite par le recourant, mais pas de celle produite par l’intimé, qui a manifestement omis de joindre la troisième page de ce document qui contenait cette mention. Dès lors que l’intimé a suspendu le recouvrement de la somme réclamée jusqu'à l'issue de la procédure, selon sa réponse du 10 décembre 2024, la demande de restitution de l’effet suspensif a perdu son objet.</w:t>
      </w:r>
    </w:p>
    <w:p>
      <w:r>
        <w:rPr>
          <w:b/>
        </w:rPr>
        <w:t>E. 4.1</w:t>
      </w:r>
    </w:p>
    <w:p>
      <w:r>
        <w:t>Il convient encore d’examiner s’il se justifie d’ordonner des mesures provisionnelles ordonnant la reprise du paiement des allocations familiales en faveur des enfants du recourant avec effet au 1er septembre 2022. Conformément à l’art. 55 al. 1 LPGA, qui prévoit que les points de procédure qui ne sont pas réglés de manière exhaustive aux art. 27 à 54 LPGA ou par les dispositions des lois spéciales sont régis par la loi fédérale sur la procédure du 20 décembre 1968 (PA - RS 172.021), il convient de se référer aux art. 55 et 56 de cette dernière pour déterminer le droit applicable aux mesures provisionnelles. L’art. 55 PA a trait à l’effet suspensif et l’art. 56 PA aux autres mesures provisionnelles. Cette dernière disposition prévoit qu’après le dépôt du recours, l’autorité de recours, son président ou le juge instructeur peut prendre d’autres mesures provisionnelles, d’office ou sur requête d’une partie, pour maintenir intact un état de fait existant ou sauvegarder des intérêts menacés. Compte tenu de l’étroite connexité liant l’effet suspensif aux autres mesures provisionnelles au sens de l’art. 56 PA, les principes applicables au retrait de l’effet suspensif s’appliquent par analogie à ces mesures.</w:t>
      </w:r>
    </w:p>
    <w:p>
      <w:r>
        <w:t>- 7/9 - 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46/04, consid. 1, in HAVE 2004 p. 127) -,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À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 ; 117 V 191 consid. 2b et les références). En d’autres termes, les conditions à remplir pour l’octroi de mesures provisionnelles sont au nombre de trois : a.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À noter que la pratique n’exige pas une atteinte irréversible. b. Le pronostic relatif à l’issue de la cause doit être favorable. Le recours ne doit pas apparaître, de prime abord, comme dépourvu de chance de succès. c. La mesure provisionnelle ne doit pas préjuger de la décision finale en créant par son propre effet une situation irréversible qui rende vaine l’issue du recours.</w:t>
      </w:r>
    </w:p>
    <w:p>
      <w:r>
        <w:rPr>
          <w:b/>
        </w:rPr>
        <w:t>E. 4.2</w:t>
      </w:r>
    </w:p>
    <w:p>
      <w:r>
        <w:t>En l’espèce, au vu des pièces au dossier, il apparaît possible qu’il soit retenu que les enfants et l’épouse du recourant étaient encore domiciliés à Bethléem dès le 1er septembre 2022, de sorte qu’il n’y a pas lieu de considérer que, selon toute vraisemblance, celui-ci obtiendra gain de cause sur sa demande de rétablissement du droit aux allocations familiales. Le fait qu’il allègue une situation matérielle</w:t>
      </w:r>
    </w:p>
    <w:p>
      <w:r>
        <w:t>- 8/9 - difficile depuis la suppression des prestations n’est pas déterminant car, dans ces circonstances, l'intérêt de l'administration est généralement prépondérant, puisque dans l'hypothèse où le droit aux prestations serait restitué et que le recours serait finalement rejeté, il serait sérieusement à craindre qu'une procédure en restitution des prestations versées à tort se révèle infructueuse. Partant, la demande de mesures provisionnelles sera rejetée.</w:t>
      </w:r>
    </w:p>
    <w:p>
      <w:r>
        <w:rPr>
          <w:b/>
        </w:rPr>
        <w:t>E. 5</w:t>
      </w:r>
    </w:p>
    <w:p>
      <w:r>
        <w:t>La suite de la procédure sera réservée.</w:t>
      </w:r>
    </w:p>
    <w:p>
      <w:r>
        <w:t>- 9/9 - PAR CES MOTIFS, LA CHAMBRE DES ASSURANCES SOCIALES : Statuant selon l’art. 21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