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ATAS/539/2019 vom 17. Juni 2019</w:t>
      </w:r>
    </w:p>
    <w:p>
      <w:r>
        <w:t>GE Cour de justice, 2019-06-17, FR</w:t>
      </w:r>
    </w:p>
    <w:p>
      <w:r>
        <w:rPr>
          <w:b/>
        </w:rPr>
        <w:t xml:space="preserve">Quelle: </w:t>
      </w:r>
      <w:r>
        <w:t>https://mcp.opencaselaw.ch/entscheid/ge_gerichte_ATAS_539_2019</w:t>
      </w:r>
    </w:p>
    <w:p>
      <w:r>
        <w:t>FR: GE_GERICHTE ATAS/539/2019 du 17 juin 2019</w:t>
      </w:r>
    </w:p>
    <w:p>
      <w:r>
        <w:t>IT: GE_GERICHTE ATAS/539/2019 del 17 giugno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(cause A/3810/2018) porte sur le bien-fondé du calcul du droit aux prestations de la recourante dès le 1er janvier 2018.</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w:t>
      </w:r>
    </w:p>
    <w:p>
      <w:r>
        <w:rPr>
          <w:b/>
        </w:rPr>
        <w:t>E. 5</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w:t>
      </w:r>
    </w:p>
    <w:p>
      <w:r>
        <w:t>A/3810/2018 - 7/12 -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l’office fédéral des assurances sociales concernant les prestations complémentaires à l’AVS et l’AI, état au 1er janvier 2017 [DPC]).</w:t>
      </w:r>
    </w:p>
    <w:p>
      <w:r>
        <w:rPr>
          <w:b/>
        </w:rPr>
        <w:t>E. 6</w:t>
      </w:r>
    </w:p>
    <w:p>
      <w:r>
        <w:t>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w:t>
      </w:r>
    </w:p>
    <w:p>
      <w:r>
        <w:t>A/3810/2018 - 8/12 - si l’âge du bâtiment au début de la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w:t>
      </w:r>
    </w:p>
    <w:p>
      <w:r>
        <w:rPr>
          <w:b/>
        </w:rPr>
        <w:t>E. 7</w:t>
      </w:r>
    </w:p>
    <w:p>
      <w:r>
        <w:t>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 à 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w:t>
      </w:r>
    </w:p>
    <w:p>
      <w:r>
        <w:t>A/3810/2018 - 9/12 - contrairement aux immeubles situés dans le canton (cf. ATAS/752/2017 ; ATAS/131/2017 ; ATAS/237/2012, ATAS/43/2010, ATAS/732/2009; ATAS/399/2007 ; ATAS 1040/2005, confirmé sur recours par l’arrêt du Tribunal fédéral P 57/05 du 29 août 2006). Enfin, la chambre de céans a également considéré qu’un taux de 5% était admissible (ATAS/1127/2017 du 11 décembre 2017).</w:t>
      </w:r>
    </w:p>
    <w:p>
      <w:r>
        <w:rPr>
          <w:b/>
        </w:rPr>
        <w:t>E. 8</w:t>
      </w:r>
    </w:p>
    <w:p>
      <w:r>
        <w:t>S’agissant du taux de conversion applicable pour le calcul de la fortune immobilière et de la valeur locative y relative, il y a lieu d’appliquer les DPC. Le chiffre 2087.1 des DPC prévoyait dans sa version 2010,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le cours déterminant du début de l’année correspondante. Dès le 1er janvier 2013, le cours de conversion, selon le chiffre 3452.01 DPC, correspond au cours du jour fixé par la Banque centrale européenne, soit pour la période du 1er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w:t>
      </w:r>
    </w:p>
    <w:p>
      <w:r>
        <w:rPr>
          <w:b/>
        </w:rPr>
        <w:t>E. 9</w:t>
      </w:r>
    </w:p>
    <w:p>
      <w:r>
        <w:t>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t>A/3810/2018 - 10/12 -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11</w:t>
      </w:r>
    </w:p>
    <w:p>
      <w:r>
        <w:t>a. En l’espèce, la recourante prétend à la prise en compte de la valeur fiscale de ses biens immobiliers sis en Italie, au lieu de la valeur vénale. A cet égard, et conformément à l’art. 17 al. 4 OPC-AVS/AI, c’est à juste titre que l’intimé a pris en compte la valeur vénale dudit bien immobilier, en se fondant sur l’expertise du géomètre B______, lequel a fait état d’une valeur vénale de 49'000 EUR du bien sis à TRICASE et d’une valeur locative de 168 EUR par mois. La valeur fiscale n’est en l’occurrence pas pertinente. Par ailleurs, aucun élément ne permet de s’écarter de cette évaluation. En particulier, les conditions locales dont se prévaut la recourante sont justement prises en compte lorsque l’évaluation est faite par un professionnel du lieu où est situé le bien immobilier en question, ce qui est le cas du géomètre B______, dont le C______ est situé à LUCUGNANO, entre SPECCIA et TRICASE. Comme relevé par l’intimé, le géomètre s’est en outre rendu sur place pour visiter le bien immobilier et effectuer les mesures nécessaires. S’agissant de la superficie du bien sis à TRICASE, aucun élément probant ne permet de faire prévaloir la superficie mentionnée dans l’attestation de certification énergétique du 30 mai 2013, soit 60m2 (« superficie utile ») par rapport à celle, calculée par une personne qualifiée pour ce faire, attestant d’une surface de 70m2 (« superficie utile »). Ceci d’autant plus que l’extrait cadastral du bien immobilier mentionne une superficie totale de 71m2, laquelle est plus proche de celle calculée par le géomètre que de celle issue de l’attestation de certification énergétique. En revanche, l’intimé n’a pris en compte aucune déduction forfaitaire des frais d’entretien de l’immeuble, alors que celle-ci s’applique même si l’immeuble n’est pas situé dans le canton (ATAS/1122/2013 du 19 novembre 2013). Cependant, même si le 20 % de la valeur locative retenue par l’intimé était déduite, le nouveau calcul n’aurait pas d’incidence sur le droit aux prestations complémentaires de la recourante. b. Pour le surplus, il convient de constater que le terrain sis à SPECCHIA, évalué fiscalement à CHF 7'721.-, n’a pas été pris en compte par l’intimé dans son calcul. Le droit aux prestations de la recourante étant cependant déjà nié, cette omission n’a pas d’incidence sur ce dernier.</w:t>
      </w:r>
    </w:p>
    <w:p>
      <w:r>
        <w:t>A/3810/2018 - 11/12 - c. En outre, l’intimé a expliqué avoir converti la valeur du bien immobilier sis à TRICASE, son produit ainsi que l’usufruit du bien immobilier sis à SALVE par l’application du cours de conversion de la Banque centrale européenne, au 31 décembre 2016 (taux de 1,0739), taux qui était d’ailleurs favorable à la recourante, celui du 31 décembre 2017 (soit le dernier cours du jour précédant le droit à la prestation dès le 1er janvier 2018) étant de 1,1702. La recourante n’a pas spécifiquement contesté ce calcul, lequel sera confirmé. d. Enfin, comme relevé par l’intimé, il n’y a pas lieu de prendre en compte la dette chirographaire de CHF 25'000.-, établie par une simple reconnaissance de dette le 24 septembre 2011, sans autre preuve de son existence et nonobstant sa déclaration à l’AFC. Cela dit, même si la fortune retenue de CHF 1'845.45 pour les PCF et de CHF 3’790.50 pour les PCC était déduite du revenu de la recourante, celle-ci n’aurait toujours pas droit aux prestations complémentaires.</w:t>
      </w:r>
    </w:p>
    <w:p>
      <w:r>
        <w:rPr>
          <w:b/>
        </w:rPr>
        <w:t>E. 12</w:t>
      </w:r>
    </w:p>
    <w:p>
      <w:r>
        <w:t>En conséquence, le recours ne peut qu’être rejeté. Pour le surplus, la procédure est gratuite.</w:t>
      </w:r>
    </w:p>
    <w:p>
      <w:r>
        <w:t>A/3810/2018 - 12/12 -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