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ATAS/539/2011 vom 26. Mai 2011</w:t>
      </w:r>
    </w:p>
    <w:p>
      <w:r>
        <w:t>GE Cour de justice, 2011-05-26, FR</w:t>
      </w:r>
    </w:p>
    <w:p>
      <w:r>
        <w:rPr>
          <w:b/>
        </w:rPr>
        <w:t xml:space="preserve">Quelle: </w:t>
      </w:r>
      <w:r>
        <w:t>https://mcp.opencaselaw.ch/entscheid/ge_gerichte_ATAS_539_2011</w:t>
      </w:r>
    </w:p>
    <w:p>
      <w:r>
        <w:t>FR: GE_GERICHTE ATAS/539/2011 du 26 mai 2011</w:t>
      </w:r>
    </w:p>
    <w:p>
      <w:r>
        <w:t>IT: GE_GERICHTE ATAS/539/2011 del 26 maggio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1er janvier 2011, cette compétence revient à la Chambre des assurances sociales de la Cour de justice, laquelle a repris la procédure pendante devant le Tribunal cantonal des assurances sociales (art. 143 al. 6 de la LOJ du 9 octobre 2009). Sa compétence pour juger du cas d’espèce est ainsi établie.</w:t>
      </w:r>
    </w:p>
    <w:p>
      <w:r>
        <w:rPr>
          <w:b/>
        </w:rPr>
        <w:t>E. 2</w:t>
      </w:r>
    </w:p>
    <w:p>
      <w:r>
        <w:t>Interjeté dans les formes et délai prévus par la loi, le recours est recevable (art. 56 à 61 LPGA et 38 al. 4 let. b LPGA).</w:t>
      </w:r>
    </w:p>
    <w:p>
      <w:r>
        <w:rPr>
          <w:b/>
        </w:rPr>
        <w:t>E. 3</w:t>
      </w:r>
    </w:p>
    <w:p>
      <w:r>
        <w:t>Le litige porte sur la question de savoir si l'assurance accidents doit prendre en charge les frais de traitement et d'investigation postérieurement à janvier 2009.</w:t>
      </w:r>
    </w:p>
    <w:p>
      <w:r>
        <w:rPr>
          <w:b/>
        </w:rPr>
        <w:t>E. 4</w:t>
      </w:r>
    </w:p>
    <w:p>
      <w:r>
        <w:t>Selon l'art. 6 al. 1 LAA, les prestations d'assurance sont allouées en cas d'accident professionnel, d'accident non professionnel et de maladie professionnelle. Les prestations d'assurance sont également versées en cas de rechutes ou de séquelles tardives (art. 11 OLAA).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no U 275 p. 191 consid.1c).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ATFA non publié du 18 novembre 2005, U 80/05).</w:t>
      </w:r>
    </w:p>
    <w:p>
      <w:r>
        <w:rPr>
          <w:b/>
        </w:rPr>
        <w:t>E. 5</w:t>
      </w:r>
    </w:p>
    <w:p>
      <w:r>
        <w:t>Aux termes de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w:t>
      </w:r>
    </w:p>
    <w:p>
      <w:r>
        <w:t>A/2845/2010 - 8/12 - logement en salle commune dans un hôpital (let. c), aux cures complémentaires et aux cures de bain prescrites par le médecin (let. d) et aux moyens et appareils servant à la guérison (let. e).</w:t>
      </w:r>
    </w:p>
    <w:p>
      <w:r>
        <w:rPr>
          <w:b/>
        </w:rPr>
        <w:t>E. 6</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337 consid. 1, 118 V 289 consid. 1b et les références). 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 U 363 p. 46). c)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du 23 novembre 2009, cause 8C_463/2009, consid. 3).</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w:t>
      </w:r>
    </w:p>
    <w:p>
      <w:r>
        <w:t>A/2845/2010 - 9/12 -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le principe de la libre appréciation des preuves, qui s’applique aussi bien en procédure administrative qu’en procédure de recours de droit administratif (art. 40 PCF en corrélation avec l’art. 19 PA),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d)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t>A/2845/2010 - 10/12 - e) Une expertise médicale établie sur la base d’un dossier peut avoir valeur probante pour autant que celui-ci contienne suffisamment d’appréciations médicales qui, elles, se fondent sur un examen personnel de l’assuré (RAMA 2001 n° U 438 p. 346 consid. 3d).</w:t>
      </w:r>
    </w:p>
    <w:p>
      <w:r>
        <w:rPr>
          <w:b/>
        </w:rPr>
        <w:t>E. 8</w:t>
      </w:r>
    </w:p>
    <w:p>
      <w:r>
        <w:t>a) En l’occurrence, l’intimée s’est basée sur l’appréciation du Dr D_______ pour exclure, à compter de janvier 2009, tout lien de causalité naturelle entre l'atteinte à l'épaule droite de l'assuré et l'évènement du 15 juillet 2007. Le Dr D_______ a retenu les diagnostics de tendinite du sus-épineux et de conflit sous-acromial et estimé qu’il n’existait pas de séquelles d’entorse acromio- claviculaire évidentes, contredisant en cela l'appréciation du Dr B________. Le Dr D_______ a expliqué que le diagnostic de séquelles d'entorse acromio- claviculaire ne peut être posé dans la mesure où il n’existe ni diastasis acromio- claviculaire ni lésion dégénérative - lesquelles auraient pu survenir dans les suites d’une entorse acromio-claviculaire ancienne. Il a ajouté que les examens radiologiques pratiqués en janvier et juin 2009 ne permettaient pas non plus de poser ce diagnostic. Selon lui, la seule lésion susceptible d’expliquer les douleurs est la tendinite du sus-épineux, dont l'origine peut être un conflit sous-acromial. Le Dr D_______ en a tiré la conclusion que le lien de causalité entre l'évènement et les symptômes encore présents en janvier 2009, soit un an et demi après l’accident, ne pouvait dès lors plus être qualifié que de "possible", d'autant que le diagnostic initialement posé en 2007 était celui de contusion simple de l’épaule droite. Selon le médecin conseil, dans ces circonstances, le statu quo sine doit être considéré comme atteint trois mois au maximum après l’accident. b) La Cour de céans est d’avis que les conclusions du Dr D_______ revêtent pleine valeur probante. En effet, son argumentation claire tient compte de l’ensemble des éléments déterminants utiles à la résolution de la question litigieuse du lien de causalité. Ce médecin n’a certes pas rencontré le recourant. Il pouvait toutefois renoncer à l’examiner dans la mesure où il disposait d’un dossier médical complet comprenant les documents radiologiques, lui permettant d’éclaircir les circonstances de l’accident, de déterminer les atteintes dès le mois de janvier 2009 et de présenter des conclusions motivées. Les conclusions du Dr D_______ s'avèrent d'autant plus convaincante que le diagnostic d’entorse acromio-claviculaire n’a pas été retenu au moment de l'accident et que l'assuré n'a consulté qu'une seule fois suite à l'accident, laissant ensuite s'écouler plus d'une année avant de consulter à nouveau. Ces éléments tendent à confirmer que le statu quo sine a été atteint peu après l’accident, au plus tard trois mois après.</w:t>
      </w:r>
    </w:p>
    <w:p>
      <w:r>
        <w:t>A/2845/2010 - 11/12 - Les rapports du Dr B________ ne permettent pas de conclure différemment, d'autant qu'ils ne répondent pas spécifiquement à la question relative au lien de causalité, qu'ils sont peu motivés et qu’ils ne permettent pas de comprendre les raisons pour lesquelles ce médecin a retenu le diagnostic de douleur séquellaire d’une entorse acromio-claviculaire de l’épaule droite. Enfin, le fait que l'assuré n'ait jamais souffert de l'épaule avant son accident du 15 juillet 2007 revient à invoquer l’adage « post hoc, ergo propter hoc », lequel est impropre à établir un rapport de cause à effet entre l’accident et les douleurs encore ressenties par l'assuré près de 18 mois après l’accident (cf. ATF 119 V 335, consid. 2b/bb). Au vu de ce qui précède, l’appréciation du Dr D_______ peut se voir reconnaitre pleine valeur probante. Il en découle que la décision de l'intimée apparait justifiée. Le recours, mal fondé, sera ainsi rejeté.</w:t>
      </w:r>
    </w:p>
    <w:p>
      <w:r>
        <w:t>A/2845/2010 - 12/12 -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