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ATAS/539/2008 vom 6. Mai 2008</w:t>
      </w:r>
    </w:p>
    <w:p>
      <w:r>
        <w:t>GE Cour de justice, 2008-05-06, FR</w:t>
      </w:r>
    </w:p>
    <w:p>
      <w:r>
        <w:rPr>
          <w:b/>
        </w:rPr>
        <w:t xml:space="preserve">Quelle: </w:t>
      </w:r>
      <w:r>
        <w:t>https://mcp.opencaselaw.ch/entscheid/ge_gerichte_ATAS_539_2008</w:t>
      </w:r>
    </w:p>
    <w:p>
      <w:r>
        <w:t>FR: GE_GERICHTE ATAS/539/2008 du 6 mai 2008</w:t>
      </w:r>
    </w:p>
    <w:p>
      <w:r>
        <w:t>IT: GE_GERICHTE ATAS/539/2008 del 6 maggio 2008</w:t>
      </w:r>
    </w:p>
    <w:p>
      <w:pPr>
        <w:pStyle w:val="Heading2"/>
      </w:pPr>
      <w:r>
        <w:t>Regeste</w:t>
      </w:r>
    </w:p>
    <w:p>
      <w:r>
        <w:t>Résumé: La décision d'octroi de rente de l'Office cantonal de l'assurance-invalidité était fondée uniquement sur le certificat du médecin traitant, extrêmement sommaire, attestant d'une incapacité totale de travail "pour raisons médicales", sans mention d'un diagnostic. Cet avis était de surcroît en contradiction avec deux rapports d'un médecin de la SUVA. Dès lors, cette décision d'octroi était manifestement erronée, de sorte que l'intimé était autorisé à revenir sur celle-ci par la voie de la reconsidération.</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4 consid. 1.2; 169 consid. 1 ; 356 consid. 1 et les arrêts cités). Ces principes de droit intertemporel commandent ainsi l'examen du bien-fondé des décisions des 17 août et 10 septembre 2007 à la lumière des anciennes dispositions de la LAI pour la période s'étendant jusqu'au 31 décembre 2002 et, au regard des nouvelles dispositions de la LPGA et, le cas échéant, des modifications de la LAI consécutives à la 4ème révision de cette loi, pour la période postérieure (ATF 130 V 445 et les références; voir également ATF 130 V 329). En ce qui concerne la procédure et à défaut de règles transitoires contraires, le nouveau droit s'applique sans réserve dès le jour de son entrée en vigueur (ATF 117 V 93 consid. 6b; 112 V 360 consid. 4a; RAMA 1998 KV 37 p. 316 consid. 3b). b)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Déposé dans les formes et délai prévus par la loi, le présent recours est recevable (art. 60 LPGA).</w:t>
      </w:r>
    </w:p>
    <w:p>
      <w:r>
        <w:rPr>
          <w:b/>
        </w:rPr>
        <w:t>E. 4</w:t>
      </w:r>
    </w:p>
    <w:p>
      <w:r>
        <w:t>Le litige porte en l’occurrence sur la question de savoir si l'OCAI pouvait procéder à la révision, voire à la reconsidération, de la décision d'octroi de la rente entière d'invalidité.</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w:t>
      </w:r>
    </w:p>
    <w:p>
      <w:r>
        <w:t>A/3781/2007 - 8/15 -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ATF 125 V 369 consid. 2 et la référence).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Enfin, l'art. 17 LPGA n'a pas apporté de modification aux principes jurisprudentiels développés sous le régime de l'ancien art. 41 LAI, en vigueur jusqu'au 31 décembre 2002 (ATF 130 V 343 consid. 3.5).</w:t>
      </w:r>
    </w:p>
    <w:p>
      <w:r>
        <w:rPr>
          <w:b/>
        </w:rPr>
        <w:t>E. 6</w:t>
      </w:r>
    </w:p>
    <w:p>
      <w:r>
        <w:t>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w:t>
      </w:r>
    </w:p>
    <w:p>
      <w:r>
        <w:t>A/3781/2007 - 9/15 - 9C_71/2008 du 14 mars 2008, consid. 2; U 5/07 du 9 janvier 2008, consid. 5.2; 9C_575/2007 du 18 octobre 2007 consid. 2.2; I 907/06 du 7 mai 2007 consid. 3.2.1).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Dans un ATF non publié du 13 août 2003, en la cause I 790/01, le Tribunal fédéral des assurances (ci-après le TFA) a jugé que l’office de l’assurance-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 invalidité - RAI). Or, s’il apparaît ultérieurement, à la suite d’une nouvelle analyse de la situation, que l’appréciation médicale du cas à l’époque était critiquable, cela ne rend pas pour autant la décision prise sur cette base comme étant manifestement erronée ».</w:t>
      </w:r>
    </w:p>
    <w:p>
      <w:r>
        <w:t>A/3781/2007 - 10/15 -</w:t>
      </w:r>
    </w:p>
    <w:p>
      <w:r>
        <w:rPr>
          <w:b/>
        </w:rPr>
        <w:t>E. 7</w:t>
      </w:r>
    </w:p>
    <w:p>
      <w:r>
        <w:t>Il convient en l’occurrence de déterminer si la décision initiale de l’OCAI (octroi d’une rente entière d’invalidité) peut être réexaminée par la voie de la révision ou par celle de la reconsidération. Pour que l’art. 17 LPGA s’applique, il faut que le taux d’invalidité ait subi une modification notable, après la décision initiale, ou qu'un changement lié aux conséquences économiques de l'invalidité se soit produit.</w:t>
      </w:r>
    </w:p>
    <w:p>
      <w:r>
        <w:rPr>
          <w:b/>
        </w:rPr>
        <w:t>E. 8</w:t>
      </w:r>
    </w:p>
    <w:p>
      <w:r>
        <w:t>La question de la révision peut, en l'espèce, rester ouverte dans la mesure où, comme il le sera démontré ci-après, la décision d'octroi de rente était manifestement erronée et pouvait être revue par le biais d'une reconsidération. Si le juge est le premier à constater que la décision initiale était certainement erronée, il peut en effet confirmer, en invoquant ce motif, la décision de révision prise par l'administration (ATF 125 V 369 consid. 2 et les arrêts cités; cf. aussi ATF 112 V 373 consid. 2c et 390 consid. 1b).</w:t>
      </w:r>
    </w:p>
    <w:p>
      <w:r>
        <w:rPr>
          <w:b/>
        </w:rPr>
        <w:t>E. 9</w:t>
      </w:r>
    </w:p>
    <w:p>
      <w:r>
        <w:t>Il sied de rappeler que la décision d'octroi de la rente était fondée uniquement sur le certificat médical du médecin traitant extrêmement sommaire attestant d'une incapacité totale de travail "pour raisons médicales" sans mentionner aucun diagnostic. Or cet avis, qui ne permettait pas à l'intimé de procéder à un examen matériel du droit à la rente, était en contradiction manifeste avec les pièces du dossier, notamment avec les deux rapports du Dr A_________. Ces deux rapports, datés du 17 avril 1996 et du 3 février 1998, faisant état d'une déchirure du ménisque externe droit, de lésions cartilagineuses, d'une déchirure de la corne postérieure du ménisque interne et d'une rupture de ligament croisé antérieur. Ces atteintes entraînaient des limitations fonctionnelles telles que marches prolongées en montées ou descentes, accroupissements et agenouillements fréquents ou ports de charges importantes. Il y avait également lieu d'éviter la position assise ou la station debout prolongées. Toutefois, dans une activité où ces sollicitations pouvaient être évitées, l'assuré était en mesure de travailler à temps complet avec un rendement total. C'est notamment sur la base du premier des rapports que les mesures de reclassement avaient été décidées et mises en place. C'est ensuite sur la base du deuxième de ces rapports que la mesure de reclassement - qui avait dû être interrompue - avait été reprise à mi-temps dès le 1er mars 1998. Or, moins de cinq mois après la reprise, la mesure de reclassement était à nouveau interrompue en raison d'un gonflement important du genou droit à la suite de quoi une rente complète fut octroyée au recourant sur la base du certificat du médecin traitant de l'époque. Il eut cependant incombé à l'intimé de procéder à une instruction complémentaire afin d'élucider les raisons de l'aggravation de l'état de santé du recourant ayant conduit à une incapacité de travail totale attestée par le médecin traitant sans autres précisions.</w:t>
      </w:r>
    </w:p>
    <w:p>
      <w:r>
        <w:t>A/3781/2007 - 11/15 - Ainsi, il y a lieu de constater que non seulement ce certificat ne constituait qu'une appréciation médico-théorique ne permettant pas à l'OCAI de procéder à un examen concret de l'incidence économique de l'atteinte à la santé mais en plus qu'il était en contradiction avec le rapport détaillé rendu par le Dr A_________ quelques mois auparavant. La décision d'octroi de rente fondée sur celui-ci était par conséquent manifestement erronée, de sorte que l'intimé était autorisé à revenir sur celle-ci.</w:t>
      </w:r>
    </w:p>
    <w:p>
      <w:r>
        <w:rPr>
          <w:b/>
        </w:rPr>
        <w:t>E. 10</w:t>
      </w:r>
    </w:p>
    <w:p>
      <w:r>
        <w:t>Il reste à examiner si l'évaluation du taux d'invalidité à laquelle a procédé l'intimé est conforme aux dispositions légales ainsi qu'à la jurisprudence rendue en la matière.</w:t>
      </w:r>
    </w:p>
    <w:p>
      <w:r>
        <w:rPr>
          <w:b/>
        </w:rPr>
        <w:t>E. 11</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ATFA non publié du 19 avril 2002, I 554/01).</w:t>
      </w:r>
    </w:p>
    <w:p>
      <w:r>
        <w:rPr>
          <w:b/>
        </w:rPr>
        <w:t>E. 12</w:t>
      </w:r>
    </w:p>
    <w:p>
      <w:r>
        <w:t>Le Tribunal de céans précisera au préalable que si la notion d'invalidité est en règle générale identique en matière d'assurance-accidents, d'assurance-invalidité et d'assurance militaire, qui doivent en principe retenir un même taux d'invalidité pour une même atteinte, le taux de 25% retenu par la SUVA le 12 février 1999 ne saurait être repris tel quel dans le cas d'espèce dès lors que seules les atteintes aux genoux suite aux différents accidents de football ont été prises en considération pour le calcul dudit taux</w:t>
      </w:r>
    </w:p>
    <w:p>
      <w:r>
        <w:rPr>
          <w:b/>
        </w:rPr>
        <w:t>E. 13</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w:t>
      </w:r>
    </w:p>
    <w:p>
      <w:r>
        <w:t>A/3781/2007 - 12/15 -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w:t>
      </w:r>
    </w:p>
    <w:p>
      <w:r>
        <w:rPr>
          <w:b/>
        </w:rPr>
        <w:t>E. 14</w:t>
      </w:r>
    </w:p>
    <w:p>
      <w:r>
        <w:t>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15</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16</w:t>
      </w:r>
    </w:p>
    <w:p>
      <w:r>
        <w:t>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t>A/3781/2007 - 13/15 -</w:t>
      </w:r>
    </w:p>
    <w:p>
      <w:r>
        <w:rPr>
          <w:b/>
        </w:rPr>
        <w:t>E. 17</w:t>
      </w:r>
    </w:p>
    <w:p>
      <w:r>
        <w:t>Dans le cadre de la procédure de révision, l'intimé a confié une expertise au Dr D_________ qui a retenu que l'assuré était en mesure de travailler à plein temps dans une activité adaptée avec un rendement diminué de 25%. Le recourant conteste l'appréciation de l'expert en se fondant sur un avis de son médecin traitant du 14 novembre 2006 qui considère que l'expert n'a pas tenu compte de l'existence d'atteintes aux hanches entraînant une incapacité de travail de 50% et conclut à l'octroi d'un trois-quarts de rente.</w:t>
      </w:r>
    </w:p>
    <w:p>
      <w:r>
        <w:rPr>
          <w:b/>
        </w:rPr>
        <w:t>E. 18</w:t>
      </w:r>
    </w:p>
    <w:p>
      <w:r>
        <w:t>S'agissant de la valeur probante de l'expertise du Dr D_________, il faut constater que le rapport a été établi sur la base d'un examen clinique et d'examens radiologiques complémentaires et d'observations approfondies reflétant une bonne connaissance du dossier, en particulier de l'anamnèse et qu'il tient compte des plaintes de l'intéressé. En outre, les diagnostics posés et l'appréciation de la situation médicale sont clairs et ses conclusions sont motivées et concluantes. Il y a par conséquent lieu de lui reconnaître a priori une pleine valeur probante.</w:t>
      </w:r>
    </w:p>
    <w:p>
      <w:r>
        <w:rPr>
          <w:b/>
        </w:rPr>
        <w:t>E. 19</w:t>
      </w:r>
    </w:p>
    <w:p>
      <w:r>
        <w:t>Reste à déterminer si les conclusions du médecin traitant doivent ou non conduire le Tribunal de céans à remettre en cause celles de l'expert. Le Dr C_________ ne conteste pas les diagnostics posés par l'expert, mais y ajoute celui de début de coxarthrose à gauche et "à confirmer" à droite. Il considère par ailleurs que la radiographie du bassin de face du 11 avril 2006 est interprétée de manière incomplète puisqu'il existerait selon lui une ostéophytose en collerette des deux têtes fémorales et un pincement de l'interligne articulaire supéro-externe à gauche. Il conclut à une incapacité de travail de 50%. Il y a lieu de relever qu'il était déjà fait état d'une coxarthrose existant depuis 1999, dans le rapport du Dr C_________ du 4 février 2006 à l'OCAI, dans lequel il indiquait n'avoir jamais fait d'arrêt de travail. Le médecin précisait en outre, dans l'annexe au rapport, ne pas pouvoir se prononcer sur les questions relatives à l'activité raisonnablement exigible au motif que depuis 2001, il n'avait revu son patient que le 19 juillet 2005. Dans son rapport du 14 novembre 2006, le Dr C_________ n'explique pas en quoi la coxarthrose aurait une incidence sur la capacité de travail en 2006 alors qu'elle n'en avait pas eu jusqu'alors. Cet élément n'est dès lors pas de nature à remettre en cause l'appréciation de l'expert. S'agissant de la radiographie du bassin du 11 avril 2006, il sied de constater que l'expert avait relevé une discrète sclérose cotyloïdienne droite, s'accompagnant d'une ostéophytose para-acétabulaire, mais il avait conclu que les symptômes mis en avant par l'assuré concernant le dos et la hanche droite étaient sans altération fonctionnelle manifeste à l'examen clinique et par conséquent sans incidence sur l'appréciation de la capacité de travail de l'assuré. On ne peut dès lors pas en conclure que l'expert aurait interprété la radiographie en cause de</w:t>
      </w:r>
    </w:p>
    <w:p>
      <w:r>
        <w:t>A/3781/2007 - 14/15 - manière incomplète mais seulement qu'il a apprécié les conséquences des atteintes constatées sur la capacité de travail différemment du médecin traitant lequel ne motive pas son appréciation de la capacité résiduelle de travail. Il faut également ajouter que les conclusions de l'expert sont corroborées par celles de la SUVA telles qu'elles ressortent de sa décision du 12 février 1999, de laquelle il résulte que le recourant est à même d'exercer une activité légère dans différents secteurs de l'industrie à condition qu'il travaille en position assise avec possibilité de se lever si nécessaire et que sa capacité de gain est diminuée de 25%.</w:t>
      </w:r>
    </w:p>
    <w:p>
      <w:r>
        <w:rPr>
          <w:b/>
        </w:rPr>
        <w:t>E. 20</w:t>
      </w:r>
    </w:p>
    <w:p>
      <w:r>
        <w:t>Le Tribunal de céans parvient ainsi à la conclusion que le rapport du médecin traitant ne saurait remettre en question les conclusions de l'expertise du Dr D_________, sur laquelle il convient dès lors de se fonder pour déterminer le degré d'invalidité.</w:t>
      </w:r>
    </w:p>
    <w:p>
      <w:r>
        <w:rPr>
          <w:b/>
        </w:rPr>
        <w:t>E. 21</w:t>
      </w:r>
    </w:p>
    <w:p>
      <w:r>
        <w:t>Les revenus avec et sans invalidité retenus par l'intimé ne sont pas contestés; ils sont d'ailleurs repris par le recourant pour procéder à un nouveau calcul fondé sur une capacité de travail résiduelle de 50%. La réduction supplémentaire de 15% à laquelle a procédé l'intimé, pour tenir compte des limitations fonctionnelles et du fait que seule restait possible une activité légère, est conforme à la jurisprudence. Le calcul du degré d'invalidité effectué par l'intimé ne prête pas le flanc à la critique et doit dès lors être confirmé. Un degré d'invalidité de 35% ne donnant pas droit à une rente, la décision de suppression de rente de l'intimé doit être confirmée et le recours, mal fondé, ne peut être que rejeté.</w:t>
      </w:r>
    </w:p>
    <w:p>
      <w:r>
        <w:rPr>
          <w:b/>
        </w:rPr>
        <w:t>E. 22</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A/3781/2007 - 15/15 -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