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ATAS/538/2025 vom 10. Juli 2025</w:t>
      </w:r>
    </w:p>
    <w:p>
      <w:r>
        <w:t>GE Cour de justice, 2025-07-10, FR</w:t>
      </w:r>
    </w:p>
    <w:p>
      <w:r>
        <w:rPr>
          <w:b/>
        </w:rPr>
        <w:t xml:space="preserve">Quelle: </w:t>
      </w:r>
      <w:r>
        <w:t>https://mcp.opencaselaw.ch/entscheid/ge_gerichte_ATAS_538_2025</w:t>
      </w:r>
    </w:p>
    <w:p>
      <w:r>
        <w:t>FR: GE_GERICHTE ATAS/538/2025 du 10 juillet 2025</w:t>
      </w:r>
    </w:p>
    <w:p>
      <w:r>
        <w:t>IT: GE_GERICHTE ATAS/538/2025 del 10 luglio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w:t>
      </w:r>
    </w:p>
    <w:p>
      <w:r>
        <w:rPr>
          <w:b/>
        </w:rPr>
        <w:t>E. 2</w:t>
      </w:r>
    </w:p>
    <w:p>
      <w:r>
        <w:t>Le litige porte sur le refus par l’OAI d’octroyer des prestations invalidité.</w:t>
      </w:r>
    </w:p>
    <w:p>
      <w:r>
        <w:rPr>
          <w:b/>
        </w:rPr>
        <w:t>E. 3.1</w:t>
      </w:r>
    </w:p>
    <w:p>
      <w:r>
        <w:t>Par renvoi de l'art. 1 al. 1 LAI, les dispositions de la LPGA s'appliquent à l'assurance-invalidité, à moins que la loi n'y déroge expressément. Le 1er janvier 2022, les modifications de la LAI du 19 juin 2020 (développement continu de l’AI ; RO 2021 705) ainsi que celles du 3 novembre 2021 du règlement sur l’assurance-invalidité du 17 janvier 1961 (RAI - RS 831.201 ; RO 2021 706) sont entrées en vigueur.</w:t>
      </w:r>
    </w:p>
    <w:p>
      <w:r>
        <w:t>A/1004/2024 - 14/31 -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les troubles de la santé pouvant donner droit à des prestations invalidité sont apparus antérieurement au 1er janvier 2022, de sorte que les dispositions légales applicables seront citées dans leur ancienne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w:t>
      </w:r>
    </w:p>
    <w:p>
      <w:r>
        <w:t>A/1004/2024 - 15/31 - consid. 3.1;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4.2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w:t>
      </w:r>
    </w:p>
    <w:p>
      <w:r>
        <w:t>A/1004/2024 - 16/31 -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6.1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6.2</w:t>
      </w:r>
    </w:p>
    <w:p>
      <w:r>
        <w:t>Selon le principe de libre appréciation des preuves, pleinement valable en procédure judiciaire de recours dans le domaine des assurances sociales (cf. art. 61 let. c LPGA), le juge n'est pas lié par des règles formelles, mais doit</w:t>
      </w:r>
    </w:p>
    <w:p>
      <w:r>
        <w:t>A/1004/2024 - 17/31 -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6.3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6.4</w:t>
      </w:r>
    </w:p>
    <w:p>
      <w:r>
        <w:t>heures de présence par jour. Concernant les avis médicaux du SMR, l’expert est, dans l’ensemble, d’accord sur les aspects psychiatriques mentionnés, mais relève que le médecin J______ du SMR n’a tenu aucun compte du taux horaire réduit de 80% retenu par le Dr N______ et précise qu’il faut tenir compte du taux de 80% dans l’appréciation de la capacité de travail de l’expertisé, en plus de la baisse de rendement de 30%, résultant des limitations fonctionnelles sur le plan somatique.</w:t>
      </w:r>
    </w:p>
    <w:p>
      <w:r>
        <w:rPr>
          <w:b/>
        </w:rPr>
        <w:t>E. 6.5</w:t>
      </w:r>
    </w:p>
    <w:p>
      <w:r>
        <w:t>En ce qui concerne les rapports établis par les médecins traitants, le juge peut et doit tenir compte du fait que, selon l'expérience, le médecin traitant est</w:t>
      </w:r>
    </w:p>
    <w:p>
      <w:r>
        <w:t>A/1004/2024 - 18/31 -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6.7</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6.8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w:t>
      </w:r>
    </w:p>
    <w:p>
      <w:r>
        <w:t>A/1004/2024 - 19/31 -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arrêts du Tribunal fédéral I 35/03 du 24 octobre 2003 consid. 4.3 et les références, in Plädoyer 2004/3 p. 64 ; 9C_512/2013 du 16 janvier 2014 consid. 5.2.1).</w:t>
      </w:r>
    </w:p>
    <w:p>
      <w:r>
        <w:rPr>
          <w:b/>
        </w:rPr>
        <w:t>E. 7</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w:t>
      </w:r>
    </w:p>
    <w:p>
      <w:r>
        <w:t>A/1004/2024 - 20/31 -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arrêt du Tribunal fédéral 8C_43/2023 du 29 novembre 2023 consid. 5.1 et 5.2 et les références).</w:t>
      </w:r>
    </w:p>
    <w:p>
      <w:r>
        <w:rPr>
          <w:b/>
        </w:rPr>
        <w:t>E. 8.1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t>A/1004/2024 - 21/31 -</w:t>
      </w:r>
    </w:p>
    <w:p>
      <w:r>
        <w:rPr>
          <w:b/>
        </w:rPr>
        <w:t>E. 9</w:t>
      </w:r>
    </w:p>
    <w:p>
      <w:r>
        <w:t>En l'espèce, l'intimé se fonde sur les conclusions des expertises administratives rhumatologique et psychiatrique et les avis de son SMR pour refuser le droit à une rente en faveur de l’assuré. Il considère que l’expertise judiciaire est dépourvue de valeur probante dans la mesure où les mêmes limitations fonctionnelles seraient comptées à double et fausseraient ainsi l’estimation de la capacité de travail du recourant dans une activité adaptée. Le recourant, en revanche, se fonde sur les appréciations de ses médecins traitants et les observations de la Fondation PRO et estime avoir droit à une rente entière d’invalidité. Il réfute la valeur probante des expertises, considérant que les experts n’ont pas tenu compte des impacts cumulés des troubles somatiques et psychiques dans l’estimation de sa capacité de travail et qu’en raison de son âge (49 ans) et de sa formation, il n’est pas réaliste de considérer qu’il pourrait retrouver un emploi adapté à ses limitations fonctionnelles.</w:t>
      </w:r>
    </w:p>
    <w:p>
      <w:r>
        <w:rPr>
          <w:b/>
        </w:rPr>
        <w:t>E. 9.1</w:t>
      </w:r>
    </w:p>
    <w:p>
      <w:r>
        <w:t>En premier lieu, il sied d’examiner la valeur probante des rapports d’expertise. Le rapport des experts correspond en tous points aux exigences en la matière. Il a été établi en parfaite connaissance du dossier médical dont les pièces sont résumées. Il contient, en outre, une anamnèse personnelle et familiale détaillée, évoquant notamment les années de guerre en Bosnie-Herzégovine et le départ pour la Suisse. La vie sentimentale du recourant est décrite et sa vie professionnelle, dans des activités parfois très physiques, est soigneusement résumée.</w:t>
      </w:r>
    </w:p>
    <w:p>
      <w:r>
        <w:rPr>
          <w:b/>
        </w:rPr>
        <w:t>E. 9.2</w:t>
      </w:r>
    </w:p>
    <w:p>
      <w:r>
        <w:t>Lors de l’anamnèse pratiquée par l’expert psychiatre, l’assuré a décrit son enfance, les souffrances vécues pendant la guerre des Balkans, les différents emplois qu’il a occupés, ainsi que les problèmes de nature personnelle ou d’activités physiques auxquels il a été confronté sur le plan professionnel, de même que le départ pour l’Autriche, puis pour l’ex-Yougoslavie, son divorce et sa séparation d’avec ses enfants et son retour en Suisse, en 2009, avec de nombreuses dettes. C’est après avoir travaillé comme chauffeur-livreur chez D______, de 2010 à 2017, qu’il connaîtra ses premiers problèmes physiques, notamment à sa jambe droite, puis dans le dos. Le Dr I______ est consulté à la fin de l’année 2017 et diagnostique un trouble de l’adaptation, avec réaction dépressive prolongée et lui prescrit des antidépresseurs dont la prise sera stoppée par la suite, le recourant ne supportant pas le traitement de Fluoxétine. En dépit de ces troubles, le Dr I______ considère que sur le plan psychiatrique, l’assuré bénéficie d’une capacité de travail totale dans toute activité. Invité à décrire une journée-type, l’expertisé mentionne qu’il a peu d’amis et ne les voit pas beaucoup. Il reste souvent seul à la maison et a perdu le goût de faire des balades, car il ne ressent plus de plaisir et est gêné par les douleurs physiques. Il dort quatre à cinq heures par nuit, se réveille à 6h30 le matin, va promener son chien, prend son petit déjeuner et attend que son fils parte à l’école. À midi, il n’a pas toujours l’envie de se faire à manger et se contente souvent de pizzas. L’après-</w:t>
      </w:r>
    </w:p>
    <w:p>
      <w:r>
        <w:t>A/1004/2024 - 22/31 - midi, il se rend à ses rendez-vous médicaux ou s’attelle à faire un peu de ménage, mais pas autant qu’auparavant. Il s’occupe des petites courses mais lorsqu’il s’agit de courses plus importantes, il est accompagné de son fils et de son épouse, car ses douleurs l’empêchent de porter de lourdes charges. Il s’occupe de ses affaires administratives et paye ses factures. Le soir, il va dormir vers 23 heures ; il ne fait pas de sport, ne boit pas d’alcool et a arrêté de fumer en 2016. Il a des problèmes d’apnée du sommeil, qui n’ont pas pu être résolus avec un appareil CPAP et envisage de porter une gouttière [orthèse d’avancée mandibulaire] pendant la nuit. Les plaintes de l’assuré sont longuement répertoriées ; en substance, il a perdu foi dans l’avenir et est honteux de devoir demander de l’aide financière à ses parents ; il aimerait travailler, mais il a « tout donné » et se considère comme handicapé. Même s’il était engagé, il devrait prendre des médicaments, se faire masser et, au final, il ne pourrait plus bouger, ce qui l’amène à la conclusion qu’il est pris dans un cercle vicieux. L’expert psychiatre a rapporté ses observations cliniques de manière détaillée, à la suite de trois entretiens approfondis de 50 minutes chacun. Le diagnostic retenu avec répercussion sur la capacité de travail est soigneusement motivé et le Dr O______ a précisé sur quels critères il se fondait, en évoquant les diagnostics différentiels. L’expert ne mentionne pas d’exagération de symptômes au niveau de la symptomatologie psychique, mais il observe des exagérations dans les symptômes physiques, mentionnant, notamment, qu’en dépit des importantes douleurs qu’il mentionne, le recourant a pu rester assis plus d’une demi-heure sans trop bouger, puis s’est levé une à deux fois, sans toutefois que cela ne lui pose de problème. Les ressources, au niveau psychique, sont considérées comme relativement limitées car l’assuré a peu de capacité de recul sur lui-même et semble ruminer sans cesse la situation actuelle, ce qui participe significativement à sa détresse psychique, car il ne supporte pas de devoir dépendre des autres, ce qui limite ses ressources extérieures pour faire face à sa maladie. Au final, l’impact des limitations fonctionnelles psychiques est de 20% au maximum et n’a jamais été au-delà, ce qui correspond à une capacité de travail, dans toute activité, de 80% et ceci depuis 2017. L’expert mentionne, cependant, qu’il est probable qu’avec une prise en charge psychothérapeutique adéquate, l’assuré pourrait rapidement avoir une capacité de travail de 100% sur le plan psychique. En ce qui concerne les appréciations des autres médecins, l’expert partage l’avis du psychiatre traitant L______ sur les diagnostics, mais pas sur son estimation d’une incapacité de travail de 100% dès mars 2024, car il n’observe pas de péjoration des symptômes dépressifs depuis le rapport du 20 janvier 2023 dans lequel le Dr L______ concluait à un épisode dépressif d’intensité moyenne, sans impact sur la capacité de travail ; il a tenté de joindre téléphoniquement le médecin, sans succès. Il est d’accord avec les conclusions de l’expertise</w:t>
      </w:r>
    </w:p>
    <w:p>
      <w:r>
        <w:t>A/1004/2024 - 23/31 - administrative psychiatrique du Dr N______, soit un taux de 80% correspondant à</w:t>
      </w:r>
    </w:p>
    <w:p>
      <w:r>
        <w:rPr>
          <w:b/>
        </w:rPr>
        <w:t>E. 9.3</w:t>
      </w:r>
    </w:p>
    <w:p>
      <w:r>
        <w:t>En ce qui concerne les aspects somatiques, les précédents rapports médicaux sont soigneusement étudiés et commentés par l’expert P______ sur plusieurs pages. Le rhumatologue décrit les plaintes somatiques de l’assuré qui estime que ces problèmes de taux lui ont causé des problèmes psychiatriques car « tout s’est cumulé » ce qui l’a conduit à prendre des antidépresseurs. Pendant la consultation, l’expert décrit minutieusement l’attitude de l’assuré qui se lève et se rassied à plusieurs reprises pour déambuler, sans toutefois que l’expert n’observe une attitude algique ou une manifestation douloureuse. À l’issue de l’examen clinique, les diagnostics retenus sont expliqués en rapport avec les pièces qui les objectivent ou avec la littérature médicale scientifique. La gravité de la lombalgie chronique est considérée comme moyenne et la gravité de la chondropathie du genou droit est considérée comme légère. L’expert note qu’il n’a pas d’explication rhumatologique pouvant expliquer les changements de position fréquents et les déambulations observées pendant l’entretien avec l’expertisé et pense que l’intensité des symptômes douloureux paraît surestimée. Néanmoins, les lombalgies et la chondropathie sont objectivées par le médecin qui note que l’importante obésité abdominale de l’assuré a probablement des répercussions sur ses lombalgies et gonalgies. La capacité de travail dans l’activité habituelle est nulle dès le 1er février 2017 et dans une activité adaptée, estimée comme devant être administrative, le taux horaire est fixé à huit heures par jour soit une activité à 100%, mais avec une baisse de rendement de l’ordre de 20 à 30%, depuis juin 2018. En ce qui concerne les rapports médicaux des autres médecins, les conclusions de l’expert convergent avec celle du Dr K______, à la différence près que la gonarthrose débutante impose des limitations fonctionnelles que l’expert considère comme incapacitantes. En ce qui concerne les appréciations du Dr H______, l’expert les commente sur plusieurs pages, relevant à plusieurs reprises qu’il ne partage pas son avis sur la capacité de travail et pense que ce dernier s’est surtout fondé sur l’anamnèse et sur le rapport de la Fondation PRO pour conclure à une capacité de travail limitée à 50%. Il relève également que la différence entre sa propre appréciation de la capacité de travail et celle du médecin traitant s’explique par le fait que ce dernier maintient une relation de confiance réciproque avec l’assuré, ce qui implique qu’il fait un postulat de</w:t>
      </w:r>
    </w:p>
    <w:p>
      <w:r>
        <w:t>A/1004/2024 - 24/31 - sincérité de son patient alors que le rôle de l’expert est d’examiner les plaintes subjectives sous un angle neutre et de les recouper avec des faits objectivables, ce qui explique, selon lui, les discordances d’appréciation entre les experts et les médecins traitants. Concernant les avis médicaux du Dr J______ du SMR, l’expert partage son évaluation des éléments somatiques mais relève une erreur quant à la posologie quotidienne de Zaldiar, qui est sous-estimée par le SMR. De surcroît, il estime que le début de la réadaptation dans une activité adaptée doit être fixé en juin 2018 et non pas en septembre 2021 dès lors qu’il n’y a pas eu d’aggravation objectivable et durable de l’état de santé rhumatologique de juin 2018 jusqu’à ce jour. Enfin, en ce qui concerne les observations de la Fondation PRO, l’expert relève que les changements de position mécaniques de l’assuré n’ont pas de corrélations somatiques, dès lors que ce dernier n’exprime aucune plainte douloureuse verbale ou non verbale et que les douleurs décrites dans le bras droit n’ont aucun rapport avec une atteinte significative et ne proviennent, probablement, que d’une contracture musculaire du muscle angulaire de l’omoplate, ce qui est fréquent et banal. L’expert note encore que la plus grande part de la diminution de la capacité de travail, telle qu’estimée par la Fondation PRO, provient de la réduction du taux horaire de l’assuré qui, sur certificat médical de ses médecins traitants, a réduit sa présence à 2h00 – 2h30 par jour en moyenne, ce qui est un taux qui ne peut pas s’expliquer par son problème de lombalgies.</w:t>
      </w:r>
    </w:p>
    <w:p>
      <w:r>
        <w:rPr>
          <w:b/>
        </w:rPr>
        <w:t>E. 9.4</w:t>
      </w:r>
    </w:p>
    <w:p>
      <w:r>
        <w:t>Le recourant critique, notamment, la valeur probante de l’expertise en raison de sa durée car, écrit-il, l’expert rhumatologue n’a eu qu’un entretien d’une durée de moins de 2h30. À cet égard, il convient de rappeler que dans les limites du mandat confié, la conduite de l'expertise (modalités de l'examen clinique et choix des examens complémentaires) est laissée au libre arbitre de l'expert. Dans ce contexte, une prétendue courte durée de l'entretien entre la personne assurée et le médecin ou la non-prise de contact de ce dernier avec un confrère ne permettent pas de dénier toute force probante à une expertise psychiatrique (arrêt du Tribunal fédéral 8C_458/2023 du 18 décembre 2023 consid. 7.1.2 et la référence). Selon la jurisprudence, la durée de l'examen - qui n'est pas en soi un critère de la valeur probante d'un rapport médical -, ne saurait remettre en question la valeur du travail de l'expert, dont le rôle consiste notamment à se prononcer sur l'état de santé psychique de l'assuré dans un délai relativement bref (arrêt du Tribunal fédéral 9C_660/2021 du 30 novembre 2022 consid. 5.3.4 et les références). Ce grief doit donc être écarté. En ce qui concerne les avis donnés par ses médecins traitants, qui selon le recourant doivent prévaloir par rapport à ceux des experts, ni les intensités de douleurs différentes, ni le fait que l’expert rhumatologue suggère des activités adaptées, qui sont critiquées par le recourant, ne suffisent à discréditer les résultats</w:t>
      </w:r>
    </w:p>
    <w:p>
      <w:r>
        <w:t>A/1004/2024 - 25/31 - des expertises ; de même sur le plan psychiatrique, on comprend mal pourquoi l’expert qui retient un taux horaire limité à 80% par jour ne pourrait pas être suivi en raison du fait qu’il appuie le rapport de la Fondation PRO qui mentionne que le recourant est triste, fatigué, irrité, a une faible estime de lui-même et que les médicaments pris peuvent influer négativement sur la capacité de travail. Ces deux termes peuvent cohabiter, car ce n’est qu’au niveau de l’estimation de la capacité de travail résiduelle que les avis divergents ; or, l'avis dûment motivé d'un médecin prime pour déterminer la capacité de travail raisonnablement exigible de l'assuré (arrêt du Tribunal fédéral I 531/04 du 11 juillet 2005 consid. 4.2). Compte tenu de ces éléments, la chambre de céans estime que les appréciations des médecins traitants sur la capacité de travail de l’assuré sont différentes de celles des experts judiciaires et que le juge peut et doit tenir compte du fait que, selon l'expérience, le médecin traitant est généralement enclin, en cas de doute, à prendre parti pour son patient en raison de la relation de confiance qui l'unit à ce dernier (ATF 125 V 351 consid. 3b/cc). Le recourant n’invoque aucun élément objectivement vérifiable ayant été ignoré dans le cadre de l'expertise et qui serait suffisamment pertinent pour remettre en cause les conclusions des experts. Ses remarques concernant le fait que les experts ne se seraient pas déterminés sur les impacts cumulés [de ses troubles] tombent à faux dès lors que les effets des troubles somatiques et psychiatriques ont été évalués conjointement, dans le cadre de l’évaluation consensuelle, pour déterminer la capacité de travail globale. Le recourant critique également la capacité de travail résiduelle retenue, alléguant qu’en raison de son âge et de son manque de formation, il ne saurait trouver d’activité adaptée. Il convient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w:t>
      </w:r>
    </w:p>
    <w:p>
      <w:r>
        <w:t>A/1004/2024 - 26/31 - Enfin, les attestations médicales des 23 et 24 juin 2025, transmises en annexe à l'écriture du 30 juin 2025 du recourant, ne modifient pas la situation. Le Dr M______ décrit des troubles qui sont déjà connus et qui ont été pris en compte par les experts. Le Dr L______, quant à lui, estime que le trouble dépressif a un impact beaucoup plus lourd sur la capacité de travail que ce qui a été retenu dans l’expertise et estime que la capacité de travail actuelle ne dépasse pas 20%. Il évoque des traits de personnalités borderline qui ont déjà été pris en compte par l’expert psychiatre, sans que ce dernier ne considère qu’il en résulte des répercussions sur la capacité de travail. Les autres appréciations du médecin traitant ne sont pas objectivées. Partant, les griefs du recourant doivent être écartés.</w:t>
      </w:r>
    </w:p>
    <w:p>
      <w:r>
        <w:rPr>
          <w:b/>
        </w:rPr>
        <w:t>E. 9.5</w:t>
      </w:r>
    </w:p>
    <w:p>
      <w:r>
        <w:t>L’OAI réfute la valeur probante de l’expertise en considérant que les experts auraient cumulé des limitations fonctionnelles qui se « recoupent presque intégralement », raison pour laquelle la valeur probante de l’expertise judiciaire est niée. Cette remarque s’oppose à celle des experts qui critiquent le fait que le taux d’activité de 80% retenu par le psychiatre N______ n’a pas du tout été pris en compte par le SMR de l’OAI. Il sied donc d’examiner si les limitations fonctionnelles se recoupent et ont été comptées à double pour estimer la capacité de travail de l’assuré. L’expert psychiatre retient comme limitations fonctionnelles les troubles de la concentration, le manque de motivation avec une fatigue consécutive et un épuisement pouvant amener l’expertisé à abandonner une tâche en cours, les limitations sociales pouvant être également alimentées par de l’irritabilité ou une tendance à se mettre en colère facilement et, finalement, la tristesse et le manque d’espoir pouvant également impacter la motivation à effectuer des tâches. L’expert rhumatologue retient comme limitations fonctionnelles, pour les lombalgies, éviter le port de charges et si c’est nécessaire, porter des charges d’un maximum de 5 kg près du corps et 10 kg de manière occasionnelle ; éviter la position penchée en avant ou en arrière, ainsi que les rotations du tronc. Pour les lombalgies et la chondropathie, autoriser les changements de position toutes les heures et éviter la position debout statique. Les déplacements sur terrain lisse et plat sont possibles jusqu’à une heure, par demi-journée de travail, mais il faut éviter les escaliers, pentes, échelles et échafaudages. Dans le cadre de l’examen consensuel, les deux experts ont confronté leurs appréciations pour aboutir au cumul d’une activité limitée à 80% avec un rendement diminué de 20 à 30%, retenant finalement une capacité de travail dans une activité adaptée de 56% depuis juin 2018. On peine à suivre l’argumentation de l’OAI selon laquelle les limitations fonctionnelles se recoupent presque intégralement ; le SMR se contente d’affirmer qu’on ne peut pas faire la différence entre un trouble de la concentration d’origine médicamenteuse (soit</w:t>
      </w:r>
    </w:p>
    <w:p>
      <w:r>
        <w:t>A/1004/2024 - 27/31 - découlant d’une atteinte somatique) et un trouble de la concentration d’origine purement psychiatrique car la distinction de causalité est impossible, ce qui montrerait, toujours selon le SMR, que les mêmes limitations fonctionnelles ont été évaluées globalement deux fois. Or, à part ce cas très particulier de l’éventuel cumul d’un trouble de la concentration psychiatrique et médicamenteux, le SMR ne donne pas d’autres exemples de cumul qui pourraient affecter la valeur probante de l’expertise judiciaire. À cet égard, on rappellera qu’en dehors de l’exemple du trouble de la concentration, relevé par le SMR, l’expert psychiatre a mentionné d’autres limitations fonctionnelles, telles que le manque de motivation avec une fatigue consécutive et un épuisement pouvant amener l’expertisé à abandonner une tâche en cours, les limitations sociales pouvant être également alimentées par de l’irritabilité ou une tendance à se mettre en colère facilement et, finalement, la tristesse et le manque d’espoir. Le temps de récupération, que l’expert psychiatre intègre pour arriver à un taux d’activité de 80%, tient compte des troubles de la concentration, qui sont également pris en compte par l’expert rhumatologue, qui les chiffre à 10% (rapport d’expertise rhumatologique, p. 77). Cet exemple isolé ne suffit pas pour conclure à l’absence de valeur probante de l’expertise. À l’aune de ce qui précède, la chambre de céans considère que les rapports d’expertise présentent une pleine valeur probante. Néanmoins, le trouble de la concentration semblant effectivement avoir été pris en compte deux fois, la baisse de rendement de 30% retenue par les experts sera modifiée en une baisse de rendement de 20%, qui exclut les 10% correspondant aux troubles de la concentration, étant rappelé que l’expert rhumatologue a, à plusieurs reprises, mentionné dans son rapport d’expertise une baisse de rendement de 20 à 30%.</w:t>
      </w:r>
    </w:p>
    <w:p>
      <w:r>
        <w:rPr>
          <w:b/>
        </w:rPr>
        <w:t>E. 9.6</w:t>
      </w:r>
    </w:p>
    <w:p>
      <w:r>
        <w:t>Compte tenu de cette modification du rendement, c’est une capacité de travail dans une activité adaptée de 64% qui sera retenue, en lieu et place de 56%. Le recourant critique la manière dont le taux d’invalidité a été calculé en mentionnant qu’aucun empêchement n’est pris en compte. À titre de revenu sans invalidité, l’OAI a pris en compte le salaire qu’aurait réalisé le recourant, en 2022, s’il était resté chauffeur-livreur dans l’entreprise D______, soit CHF 54’055.- et a constaté que le revenu était inférieur de plus de 5% de la valeur statistique médiane usuelle dans la branche selon l’ESS, raison pour laquelle il a réévalué le salaire sans invalidité, pour l’année 2022, retenant 95% du salaire médian de CHF 65'322.-, ce qui aboutit à un salaire sans invalidité de CHF 62'056.-, pour une activité à 100%.</w:t>
      </w:r>
    </w:p>
    <w:p>
      <w:r>
        <w:t>A/1004/2024 - 28/31 - En ce qui concerne le salaire après invalidité, l’OAI s’est fondé sur l’ESS (TA1 tirage_skill_level pour un homme) avec indexation pour l’année 2022 et a abouti à un salaire après invalidité de CHF 65'322.-, pour une activité à 100%. Les données prises en compte par l’OAI pour fixer le salaire avec et sans invalidité ne prêtent pas le flanc à la critique. Néanmoins, lors du calcul du taux d’invalidité, l’OAI n’a pas pris en compte le taux global de capacité de travail dans une activité adaptée de 64% et n’a pas retenu d’empêchement.</w:t>
      </w:r>
    </w:p>
    <w:p>
      <w:r>
        <w:rPr>
          <w:b/>
        </w:rPr>
        <w:t>E. 9.7</w:t>
      </w:r>
    </w:p>
    <w:p>
      <w:r>
        <w:t>La capacité de travail fonctionnelle n’étant pas égale ou inférieure à 50%, on ne saurait retenir les empêchements forfaitaires de la nouvelle teneur de l’art. 26bis al. 3 RAI, soit 10% dès le 1er janvier 2022, puis 20% dès le 1er janvier 2024. Cependant, dans un arrêt de principe (8C_823/2023 du 8 juillet 2024), le Tribunal fédéral a considéré que le régime de déduction sur les salaires statistiques des ESS, tel que prévu de manière exhaustive à l’art. 26bis al. 3 RAI (dans sa teneur en vigueur du 1er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(cf. consid. 9.4.2). Or, en limitant la déduction à 10% dans le cas où les capacités fonctionnelles de la personne assurée ne lui permettent de travailler qu’à un taux d’occupation de 50% ou moins (cf. art. 26bis al. 3 RAI), le Conseil fédéral avait choisi une autre voie (consid. 9.4.3). Par conséquent, si en raison des circonstances du cas d’espèce, le salaire statistique des ESS doit être adapté au-delà de ce que prévoit l’art. 26bis al. 3 RAI, il y a lieu recourir, en complément, à la jurisprudence appliquée jusqu’à présent par le Tribunal fédéral (consid. 10.6). Compte tenu de l’âge du recourant et du fait qu’il ne peut réaliser qu’une activité partielle à un taux de 64%, moins bien rémunérée qu’une activité à plein temps, il sied de retenir un abattement de 15%, étant rappelé qu’une activité à un taux de 50% justifie un abattement de 20%. Dès lors que la capacité de travail, dans une activité adaptée, est établie à 64%, en prenant en compte un revenu annuel brut, avec invalidité, de CHF 65’322.-, ce dernier doit être abaissé à CHF 41’806.- (CT de 64%) puis corrigé par un abattement de 15% (soit CHF 6'271.-), ce qui aboutit à un revenu annuel brut raisonnablement exigible, avec invalidité, de CHF 35'535.-. La perte de gain, pour l’année 2022, s’élève donc à CHF 26’521.- (CHF 62'056.- – CHF 35’535.-). Comparé au revenu sans invalidité de CHF 62'056.-, il en résulte un degré d'invalidité de 42.73%, arrondi à 43% qui ouvre le droit à un quart de rente.</w:t>
      </w:r>
    </w:p>
    <w:p>
      <w:r>
        <w:t>A/1004/2024 - 29/31 -</w:t>
      </w:r>
    </w:p>
    <w:p>
      <w:r>
        <w:rPr>
          <w:b/>
        </w:rPr>
        <w:t>E. 9.8</w:t>
      </w:r>
    </w:p>
    <w:p>
      <w:r>
        <w:t>L’assuré a déposé sa demande de prestations le 20 décembre 2021.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Suite au dépôt de la demande, le 20 décembre 2021, la période de six mois s’est terminée le 20 juin 2022 et le droit à la rente est donc né au mois de juin 2022.</w:t>
      </w:r>
    </w:p>
    <w:p>
      <w:r>
        <w:rPr>
          <w:b/>
        </w:rPr>
        <w:t>E. 9.9</w:t>
      </w:r>
    </w:p>
    <w:p>
      <w:r>
        <w:t>Considérant que le recourant a eu amplement la possibilité de s’exprimer dans ses écritures, sa demande d’audition sera écartée par appréciation anticipée, dès lors que certains faits présentent un degré de vraisemblance prépondérante et que d’autres mesures probatoires ne pourraient plus modifier cette appréciation (appréciation anticipée des preuves ; ATF 122 II 464 consid. 4a ; 122 III 219 consid. 3c).</w:t>
      </w:r>
    </w:p>
    <w:p>
      <w:r>
        <w:rPr>
          <w:b/>
        </w:rPr>
        <w:t>E. 10.1</w:t>
      </w:r>
    </w:p>
    <w:p>
      <w:r>
        <w:t>S’agissant des coûts de l’expertise,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L’OAI a mandaté deux experts ; le fait que leurs conclusions soient différentes de celles des experts judiciaires mandatés par la chambre de céans ne permet pas de déduire que l'autorité administrative a diligenté une instruction présentant des lacunes ou des insuffisances caractérisées. Dès lors, les frais des expertises judiciaires seront laissés à la charge de l’État.</w:t>
      </w:r>
    </w:p>
    <w:p>
      <w:r>
        <w:t>A/1004/2024 - 30/31 -</w:t>
      </w:r>
    </w:p>
    <w:p>
      <w:r>
        <w:rPr>
          <w:b/>
        </w:rPr>
        <w:t>E. 10.2</w:t>
      </w:r>
    </w:p>
    <w:p>
      <w:r>
        <w:t>Le recourant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3’000.-.</w:t>
      </w:r>
    </w:p>
    <w:p>
      <w:r>
        <w:rPr>
          <w:b/>
        </w:rPr>
        <w:t>E. 10.3</w:t>
      </w:r>
    </w:p>
    <w:p>
      <w:r>
        <w:t>Au vu du sort du recours, il y a lieu de condamner l’intimé au paiement d'un émolument (art. 69 al. 1bis LAI), arrêté à CHF 200.-.</w:t>
      </w:r>
    </w:p>
    <w:p>
      <w:r>
        <w:t>A/1004/2024 - 31/31 -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