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ATAS/537/2023 vom 30. Juni 2023</w:t>
      </w:r>
    </w:p>
    <w:p>
      <w:r>
        <w:t>GE Cour de justice, 2023-06-30, FR</w:t>
      </w:r>
    </w:p>
    <w:p>
      <w:r>
        <w:rPr>
          <w:b/>
        </w:rPr>
        <w:t xml:space="preserve">Quelle: </w:t>
      </w:r>
      <w:r>
        <w:t>https://mcp.opencaselaw.ch/entscheid/ge_gerichte_ATAS_537_2023</w:t>
      </w:r>
    </w:p>
    <w:p>
      <w:r>
        <w:t>FR: GE_GERICHTE ATAS/537/2023 du 30 juin 2023</w:t>
      </w:r>
    </w:p>
    <w:p>
      <w:r>
        <w:t>IT: GE_GERICHTE ATAS/537/2023 del 30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rPr>
          <w:b/>
        </w:rPr>
        <w:t>E. 1.2</w:t>
      </w:r>
    </w:p>
    <w:p>
      <w:r>
        <w:t>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t>A/2757/2021 - 7/17 -</w:t>
      </w:r>
    </w:p>
    <w:p>
      <w:r>
        <w:rPr>
          <w:b/>
        </w:rPr>
        <w:t>E. 4.3</w:t>
      </w:r>
    </w:p>
    <w:p>
      <w:r>
        <w:t>;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w:t>
      </w:r>
    </w:p>
    <w:p>
      <w:r>
        <w:t>A/2757/2021 - 11/17 - 9C_128/2018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10.</w:t>
      </w:r>
    </w:p>
    <w:p>
      <w:r>
        <w:t>10.1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10.2 Selon le principe de libre appréciation des preuves, pleinement valable en procédure judiciaire de recours dans le domaine des assurances sociales (cf. art. 61 let. c LPGA), le juge n'est pas lié par des règles formelles, mais doit examiner</w:t>
      </w:r>
    </w:p>
    <w:p>
      <w:r>
        <w:t>A/2757/2021 - 12/17 -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10.3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A/2757/2021 - 13/17 -</w:t>
      </w:r>
    </w:p>
    <w:p>
      <w:r>
        <w:rPr>
          <w:b/>
        </w:rPr>
        <w:t>E. 5</w:t>
      </w:r>
    </w:p>
    <w:p>
      <w:r>
        <w:t>Le délai de recours est de trente jours (art. 56 LPGA; art. 62 al. 1 de la loi sur la procédure administrative du 12 septembre 1985 [LPA - E 5 10]). Interjeté dans la forme et le délai prévus par la loi, le recours est recevable.</w:t>
      </w:r>
    </w:p>
    <w:p>
      <w:r>
        <w:rPr>
          <w:b/>
        </w:rPr>
        <w:t>E. 6</w:t>
      </w:r>
    </w:p>
    <w:p>
      <w:r>
        <w:t>Le litige porte sur le droit de la recourante à une rente d’invalidité au-delà du 31 mars 2018.</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t>A/2757/2021 - 8/17 -</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w:t>
      </w:r>
    </w:p>
    <w:p>
      <w:r>
        <w:t>A/2757/2021 - 9/17 -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8.4</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8.5</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w:t>
      </w:r>
    </w:p>
    <w:p>
      <w:r>
        <w:rPr>
          <w:b/>
        </w:rPr>
        <w:t>E. 12</w:t>
      </w:r>
    </w:p>
    <w:p>
      <w:r>
        <w:t>En l’occurrence, la chambre de céans a confié une expertise judiciaire psychiatrique au Dr N______ après avoir constaté que les avis des Dres J______ et C______ étaient diamétralement opposés, ce qui justifiait une instruction médicale complémentaire. Fondé sur toutes les pièces du dossier, comprenant une anamnèse, la description d’une journée-type, les plaintes de la recourante, un status clinique et un dosage sanguin, posant des diagnostics clairs avec une analyse de leur impact sur la capacité de travail de la recourante, le rapport d’expertise du Dr N______ répond aux critères jurisprudentiels précités pour qu’il lui soit reconnu une pleine valeur probante.</w:t>
      </w:r>
    </w:p>
    <w:p>
      <w:r>
        <w:rPr>
          <w:b/>
        </w:rPr>
        <w:t>E. 12.1</w:t>
      </w:r>
    </w:p>
    <w:p>
      <w:r>
        <w:t>L’expert retient un diagnostic d’autres troubles dépressifs récurrents (F33.8) non incapacitants et considère que si un diagnostic de fibromyalgie ou trouble somatoforme douloureux était admis, il n’aurait pas d’influence non plus sur la capacité de travail. Les troubles diagnostiqués ne présentaient pas de critère de gravité. L’état de santé psychique de la recourante s’était amélioré avec l’évolution favorable de sa fille, décrite comme autonome et indépendante. Un trouble de la personnalité ne pouvait être évalué car il nécessitait des tests projectifs. Il en était de même des traits de la personnalité pathologique qui nécessiteraient un travail d’exploration psychique dans le temps. Cela dit, la recourante avait pu travailler durant plusieurs années, ce qui démontrait un caractère non-handicapant de son fonctionnement. Les éléments thymiques du passé, qui avaient été incapacitants, étaient en rémission et la recourante était totalement capable de travailler. Il rejoignait les constatations et conclusions de la Dre J______ mais pas celles de la Dre C______.</w:t>
      </w:r>
    </w:p>
    <w:p>
      <w:r>
        <w:rPr>
          <w:b/>
        </w:rPr>
        <w:t>E. 12.2</w:t>
      </w:r>
    </w:p>
    <w:p>
      <w:r>
        <w:t>L’intimé estime que l’expertise judiciaire, qui confirme les conclusions de la Dre J______, est probante.</w:t>
      </w:r>
    </w:p>
    <w:p>
      <w:r>
        <w:rPr>
          <w:b/>
        </w:rPr>
        <w:t>E. 12.3</w:t>
      </w:r>
    </w:p>
    <w:p>
      <w:r>
        <w:t>Quant à la recourante, elle en conteste la valeur probante ; elle relève que l’expert ne se fonde pas sur une grille d’analyse pour évaluer le diagnostic de syndrome douloureux somatoforme persistant (F45.4) et qu’il cite une jurisprudence du Tribunal fédéral désuète ; il manque un test psychomoteur et une synthèse clinique de sa psychopathologie et de son fonctionnement ; la description de la journée-type n’est pas claire ; l’expert ne motive pas le diagnostic d’autres troubles dépressifs récurrents ; son rapport manque de clarté, de motivation et ne tient vraisemblablement pas compte de l’ensemble du dossier médical puisqu’il conclut à une pleine capacité de travail.</w:t>
      </w:r>
    </w:p>
    <w:p>
      <w:r>
        <w:rPr>
          <w:b/>
        </w:rPr>
        <w:t>E. 12.4</w:t>
      </w:r>
    </w:p>
    <w:p>
      <w:r>
        <w:t>À cet égard, l’expert a, certes de façon un peu confuse, fait état des notions de somatisations et de troubles somatoformes, en citant divers articles de doctrine médicale et des jurisprudences du Tribunal fédéral ; toutefois, son rapport contient suffisamment d’éléments permettant l’analyse des indicateurs jurisprudentiels pertinents, pour retenir que les diagnostics d’autres troubles dépressifs récurrents</w:t>
      </w:r>
    </w:p>
    <w:p>
      <w:r>
        <w:t>A/2757/2021 - 14/17 - et de fibromyalgie (diagnostics retenus par le Dr I______), voire de trouble somatoforme douloureux, ne sauraient entrainer une incapacité de travail.</w:t>
      </w:r>
    </w:p>
    <w:p>
      <w:r>
        <w:rPr>
          <w:b/>
        </w:rPr>
        <w:t>E. 12.4.1</w:t>
      </w:r>
    </w:p>
    <w:p>
      <w:r>
        <w:t>On constate tout d’abord que le degré de gravité fonctionnel des autres troubles dépressifs récurrents n’est pas important au point de restreindre les capacités fonctionnelles de la recourante. En revanche, le degré fonctionnel de la fibromyalgie est suffisamment important, ce qui permet d’écarter des motifs d’exclusion ; en effet, l’expert a relevé des plaintes de douleurs intenses et souligné que la recourante ne donnait pas l’impression d’exagération ou de simulation ; le tableau clinique et le comportement de la recourante semblaient être cohérents et la description d’une journée-type corroborait les plaintes. Dans ces conditions, les indicateurs pertinents doivent être examinés.</w:t>
      </w:r>
    </w:p>
    <w:p>
      <w:r>
        <w:rPr>
          <w:b/>
        </w:rPr>
        <w:t>E. 12.4.2</w:t>
      </w:r>
    </w:p>
    <w:p>
      <w:r>
        <w:t>S’agissant du traitement, l’expert a relevé que les dosages sanguins avaient montré des doses infrathérapeutiques de l’antidépresseur et du tranquillisant, ce qui est un élément plutôt en défaveur d’un signe de gravité, même si l’expert estime qu’il faudrait investiguer les raisons de ce résultat. En revanche, la recourante effectue un suivi psychothérapeutique sérieux auprès de la Dre C______ et a indiqué à l’expert qu’elle était demandeuse par rapport à tout traitement, ce qui est un signe positif d’engagement dans les traitements.</w:t>
      </w:r>
    </w:p>
    <w:p>
      <w:r>
        <w:rPr>
          <w:b/>
        </w:rPr>
        <w:t>E. 12.4.3</w:t>
      </w:r>
    </w:p>
    <w:p>
      <w:r>
        <w:t>S’agissant des comorbidités, l’expert les exclut, le diagnostic d’autres troubles dépressifs récurrents ayant été jugé sans critère de gravité. Quant au complexe de personnalité, l’expert a estimé qu’il n’était pas en mesure d’analyser la présence d’un trouble de la personnalité et de traits de la personnalité pathologique. Cependant, il estime que la personnalité avec ses traits est créée lors de l’enfance et de l’adolescence et que l’adulte démarre sa vie autonome avec un fonctionnement défini. Or, la recourante avait pu travailler durant plusieurs années, effectuant diverses tâches, ce qui orientait vers un caractère non- handicapant de son fonctionnement. Cette constatation permet d’exclure la présence d’un complexe de personnalité chez la recourante qui aggraverait le tableau clinique et permet, au contraire, d’admettre la présence de ressources adaptatives suffisantes chez la recourante. En conséquence, il n’existe pas, en parallèle de l’état douloureux, de comorbidités ou un complexe de personnalité déterminants.</w:t>
      </w:r>
    </w:p>
    <w:p>
      <w:r>
        <w:rPr>
          <w:b/>
        </w:rPr>
        <w:t>E. 12.4.4</w:t>
      </w:r>
    </w:p>
    <w:p>
      <w:r>
        <w:t>Concernant le contexte social, l’expert relève que l’environnement social autour de la recourante est de très mauvaise qualité, sans aucun soutien. La recourante a un lien lointain avec une de ses sœurs. Il relève cependant aussi que l’évolution de la fille de la recourante est favorable avec une autonomie et une indépendance ; c’est elle qui prend en charge les activités de la vie quotidienne (gestion du logement, courses, tâches ménagères) ; il convient ainsi de retenir que la recourante est isolée socialement, ce qui a été relevé par l’expert ; cependant, la fille de la recourante, devenue autonome, est un soutien et une ressource du point de vue de ce même contexte social.</w:t>
      </w:r>
    </w:p>
    <w:p>
      <w:r>
        <w:t>A/2757/2021 - 15/17 -</w:t>
      </w:r>
    </w:p>
    <w:p>
      <w:r>
        <w:rPr>
          <w:b/>
        </w:rPr>
        <w:t>E. 12.4.5</w:t>
      </w:r>
    </w:p>
    <w:p>
      <w:r>
        <w:t>S’agissant de la cohérence, l’expert l’a reconnue. Il a relevé que la recourante ne donnait pas l’impression d’exagération ou de simulation et qu’elle se disait limitée dans ses activités de la vie quotidienne par ses douleurs et déléguait les tâches du ménage à sa fille. Contrairement à l’avis de la recourante, la description de l’expert d’une journée-type est suffisamment précise, puisqu’elle permet de comprendre que la recourante se lève à 11h, n’effectue des tâches ménagères que lorsque ses douleurs le lui permettent et n’a aucune activité définie. Ce constat de cohérence de l’expert est cependant relativisé par le fait que la recourante, tout en lui précisant qu’elle serait capable de travailler à 100%, seulement en l’absence de douleurs, lui a mentionné que sa demande à l’intimé avait été faite dans un but de réinsertion professionnelle et « surtout pas dans un but de rente d’invalidité » (expertise judiciaire p. 8). Il apparait ainsi que la recourante elle-même semble estimer avoir des ressources nécessaires pour surmonter ses douleurs afin de récupérer une capacité de travail.</w:t>
      </w:r>
    </w:p>
    <w:p>
      <w:r>
        <w:rPr>
          <w:b/>
        </w:rPr>
        <w:t>E. 12.4.6</w:t>
      </w:r>
    </w:p>
    <w:p>
      <w:r>
        <w:t>Au demeurant, le poids de la souffrance, s’il est reconnu chez la recourante par la présence d’un état douloureux d’une certaine intensité, n’est pas, après une analyse des éléments précités, d’une gravité telle qu’il limiterait de façon totale ou même partielle la capacité de la recourante à se réinsérer dans le marché du travail. Les critères de l’engagement dans les traitements, des comorbidités, du complexe de la personnalité, du contexte social et de la cohérence ne sont pas présents d’une façon suffisamment intense.</w:t>
      </w:r>
    </w:p>
    <w:p>
      <w:r>
        <w:rPr>
          <w:b/>
        </w:rPr>
        <w:t>E. 12.4.7</w:t>
      </w:r>
    </w:p>
    <w:p>
      <w:r>
        <w:t>Enfin, la recourante n’explique pas en quoi un « test psychomoteur » serait pertinent, de sorte qu’on ne saurait reprocher à l’expert de ne pas avoir évalué cet aspect.</w:t>
      </w:r>
    </w:p>
    <w:p>
      <w:r>
        <w:rPr>
          <w:b/>
        </w:rPr>
        <w:t>E. 12.5</w:t>
      </w:r>
    </w:p>
    <w:p>
      <w:r>
        <w:t>Au vu de ce qui précède, les conclusions de l’expertise judiciaire, lesquelles rejoignent celles de la Dre J______ doivent être suivies, soit une capacité de travail totale de la recourante dès le 1er janvier 2018. En effet, l’expert a précisé que la recourante avait présenté dans le passé des épisodes d’incapacité de travail, mais qu’il rejoignait les conclusions sur la capacité de travail de la Dre J______, laquelle a estimé que la recourante était totalement incapable de travailler dès le 1er mars 2009, incapable de travailler à 50% dès le 1er septembre 2014 et totalement capable de travailler dès le 1er janvier 2018.</w:t>
      </w:r>
    </w:p>
    <w:p>
      <w:r>
        <w:rPr>
          <w:b/>
        </w:rPr>
        <w:t>E. 13</w:t>
      </w:r>
    </w:p>
    <w:p>
      <w:r>
        <w:t>Du point de vue somatique, la recourante n’a pas spécifiquement contesté l’expertise du Dr I______ du 22 août 2019, concluant à une capacité de travail totale dans une activité adaptée aux limitations fonctionnelles (pas de position debout prolongée, pas de port de charge de plus de 5 kg de manière répétitive, pas de position à genoux et de montée et descente d’escaliers à répétition) à tout le moins depuis le 1er janvier 2018 (sous réserve d’une incapacité de travail totale de juillet à novembre 2019). En particulier, les rapports subséquents de ses médecins-traitants ne sont pas à même de mettre en doute les conclusions du Dr I______. En effet, le Dr M______ a exclu une polyarthrite rhumatoïde (avis du 28 juin 2019), la Dre H______ a considéré que le problème de la recourante était</w:t>
      </w:r>
    </w:p>
    <w:p>
      <w:r>
        <w:t>A/2757/2021 - 16/17 - plutôt psychique et social (avis du 31 mars 2022) et le Dr D______ a fait état d’atteintes somatiques prises en compte par le Dr I______ (avis du 14 avril 2022). Dans ces conditions, les conclusions du Dr I______ peuvent être suivies.</w:t>
      </w:r>
    </w:p>
    <w:p>
      <w:r>
        <w:rPr>
          <w:b/>
        </w:rPr>
        <w:t>E. 14</w:t>
      </w:r>
    </w:p>
    <w:p>
      <w:r>
        <w:t>La recourante n’a pas formellement conclu à l’octroi de mesures de réadaptation. Elle a cependant précisé à l’expert judiciaire qu’elle souhaitait une aide à la réinsertion. En toute hypothèse, une mesure ne saurait lui être octroyée, dès lors qu’elle a déjà bénéficié d’un réentrainement au travail en 2018.</w:t>
      </w:r>
    </w:p>
    <w:p>
      <w:r>
        <w:rPr>
          <w:b/>
        </w:rPr>
        <w:t>E. 15</w:t>
      </w:r>
    </w:p>
    <w:p>
      <w:r>
        <w:t>En conséquence, la décision litigieuse, fondée sur les incapacités de travail précitées, ne peut qu’être confirmée et le recours rejeté. Au vu du sort du recours, il y a lieu de condamner la recourante au paiement d'un émolument de CHF 200.- (art. 69 al. 1 bis LAI).</w:t>
      </w:r>
    </w:p>
    <w:p>
      <w:r>
        <w:t>A/2757/2021 - 17/17 -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