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ATAS/537/2020 vom 29. Juni 2020</w:t>
      </w:r>
    </w:p>
    <w:p>
      <w:r>
        <w:t>GE Cour de justice, 2020-06-29, FR</w:t>
      </w:r>
    </w:p>
    <w:p>
      <w:r>
        <w:rPr>
          <w:b/>
        </w:rPr>
        <w:t xml:space="preserve">Quelle: </w:t>
      </w:r>
      <w:r>
        <w:t>https://mcp.opencaselaw.ch/entscheid/ge_gerichte_ATAS_537_2020</w:t>
      </w:r>
    </w:p>
    <w:p>
      <w:r>
        <w:t>FR: GE_GERICHTE ATAS/537/2020 du 29 juin 2020</w:t>
      </w:r>
    </w:p>
    <w:p>
      <w:r>
        <w:t>IT: GE_GERICHTE ATAS/537/2020 del 29 giugno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LPC.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w:t>
      </w:r>
    </w:p>
    <w:p>
      <w:r>
        <w:t>A/3927/2019 - 8/19 - la LPGA et ses dispositions d’exécution, sont applicables par analogie en cas de silence de la législation cantonale (art. 1A LPCC). La LPC a connu plusieurs modifications concernant le montant des revenus déterminants, entrées en vigueur le 1er janvier 2011. En cas de changement des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 arrêt du Tribunal fédéral U_18/07 du</w:t>
      </w:r>
    </w:p>
    <w:p>
      <w:r>
        <w:rPr>
          <w:b/>
        </w:rPr>
        <w:t>E. 7</w:t>
      </w:r>
    </w:p>
    <w:p>
      <w:r>
        <w:t>a. 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ont droit à une rente de l’assurance-vieillesse survivants (art.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w:t>
      </w:r>
    </w:p>
    <w:p>
      <w:r>
        <w:t>A/3927/2019 - 10/19 - produit de la fortune mobilière et immobilière (art. 11 al. 1 let. b LPC) et les ressources et parts de fortune dont un ayant droit s’est dessaisi (art. 11 al. 1 let. g LPC). b. Le législateur a adopté quelques règles spéciales pour déterminer la valeur de la fortune immobilière. Celles-ci sont destinées à permettre aux rentiers AVS/AI, qui bénéficient de faibles revenus, de continuer à vivre dans leur cadre habituel. Ces dispositions spéciales concernent l’évaluation de la fortune et le montant de la franchise (ou « deniers de nécessité »). Aux termes de l’art. 11 al. 1 let. c LPC en effet, les revenus déterminants comprennent un quinzième de la fortune nette, un dixième pour les bénéficiaires de rentes de vieillesse, dans la mesure où elle dépasse CHF 37’500.- pour les personnes seules, CHF 60’000.- pour les couples et CHF 15’000.-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CHF 112’500.- entre en considération au titre de la fortune. Selon l’art. 17 al. 1 OPC-AVS/AI, la fortune prise en compte doit être évaluée selon les règles de la législation sur l’impôt cantonal direct du canton du domicile. c/aa. S’agissant des dépenses, elles comprennent notamment les frais d’entretien des bâtiments et les intérêts hypothécaires, jusqu’à concurrence du rendement brut de l’immeuble (art. 10 al. 3 let. b LPC) et, pour les personnes qui vivent en permanence ou pour une longue période dans un home ou un hôpital, la taxe journalière (art. 10 al. 2 let. a LPC) ainsi qu’un montant, arrêté par les cantons, pour les dépenses personnelles (art. 10 al. 2 let. b LPC). c/bb. Pour les frais d’entretien des immeubles, seule la déduction fiscale forfaitaire applicable pour l’impôt cantonal direct du canton de domicile est prise en compte (art. 16 al. 1 OPC-AVS/AI). Il n’est donc pas possible de choisir entre la déduction forfaitaire et les frais effectifs comme en droit fiscal (arrêt du Tribunal fédéral 9C_822/2009 du 7 mai 2010 consid. 3.4 ; Michel VALTERIO, Commentaire de la loi fédérale sur les prestations complémentaires à l’AVS et à l’AI, p. 108-109 n. 54). Pour le canton de Genève, l’art. 20 al. 2 du règlement d’application de la loi sur l’imposition des personnes physiques du 13 janvier 2010 (RIPP - D 3 08.01) dispose que cette déduction forfaitaire, calculée sur la valeur locative selon l’article 24 al. 2 de la loi sur l’imposition des personnes physiques du 27 septembre 2009 (LIPP - D 3 08), s’élève à 10 % si l’âge du bâtiment au début de la période fiscale est inférieur ou égal à 10 ans, et à 20 %, si l’âge du bâtiment au début de la période fiscale est supérieur à 10 ans. Cette déduction s’applique même si la personne n’habite pas le bien immobilier dont elle est propriétaire (ATAS/1122/2013 du 19 novembre 2013 consid. 16a et les références citées). Il n’est dès lors pas possible de se fonder sur les frais effectifs d’entretien des immeubles. Par ailleurs, d’autres</w:t>
      </w:r>
    </w:p>
    <w:p>
      <w:r>
        <w:t>A/3927/2019 - 11/19 - frais éventuels - et notamment les amortissements de la dette hypothécaire - ne peuvent être pris en compte comme dépenses reconnues (ch. 3260.02 et 3260.03 des directives de l'office fédéral des assurances sociales concernant les prestations complémentaires à l'AVS et à l'AI [ci-après : DPC]). La déduction forfaitaire des frais d’entretien s’applique même si l’immeuble n’est pas situé dans le canton (ATAS/1122/2013 du 19 novembre 2013 consid. 16b). Un droit d’usufruit en faveur de la personne qui demande des prestations complémentaires représente pour sa titulaire une valeur économique, dans la mesure où elle obtient ainsi une prestation dont elle ne pourrait, à défaut, bénéficier sans engager d’autres moyens financiers ; pour ce motif, il importe de prendre en considération le produit de l’usufruit à titre de produit de la fortune, conformément à l’art. 11 al. 1 let. b LPC (ATF 122 V 394 consid. 6a). S’il s’agit d’un immeuble d’habitation, l’usufruitier peut le mettre en location ou y habiter lui-même (arrêt du Tribunal fédéral 9C_599/2014 du 14 janvier 2015 consid. 3 et la référence). Selon le ch. 3433.01 DPC, le revenu de la fortune immobilière comprend les loyers et fermages, l’usufruit, le droit d’habitation, ainsi que la valeur locative du logement de l’assuré dans son propre immeuble, pour autant que cette valeur ne soit pas déjà comprise dans son revenu d’une activité lucrative. Selon le ch. 3433.02, pour les immeubles habités par le propriétaire, l’usufruitier ou le bénéficiaire d’un droit d’habitation, la valeur locative de l’immeuble doit être prise en compte dans les revenus. La valeur locative doit être déterminée d’après les règles de la législation sur l’impôt cantonal direct. Si le droit cantonal prévoit une éventuelle déduction pour cause d’usage propre, il importe de l’ignorer. À défaut de règles sur l’impôt cantonal direct, celles prévues par la législation sur l’impôt fédéral direct sont déterminantes.</w:t>
      </w:r>
    </w:p>
    <w:p>
      <w:r>
        <w:rPr>
          <w:b/>
        </w:rPr>
        <w:t>E. 8</w:t>
      </w:r>
    </w:p>
    <w:p>
      <w:r>
        <w:t>Sur le plan cantonal, selon l’art. 4 LPCC, ont droit aux prestations complémentaires cantonales les personnes dont le revenu annuel déterminant n’atteint pas le revenu minimum cantonal d’aide sociale applicable. Le revenu déterminant est calculé conformément aux règles fixées dans la LPC, moyennant certaines adaptations, en particulier la part de fortune nette prise en compte est non pas d’un dixième mais d’un cinquième pour les bénéficiaires de rentes de vieillesse (art. 5 let. c LPCC).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 50 let. e et</w:t>
      </w:r>
    </w:p>
    <w:p>
      <w:r>
        <w:t>A/3927/2019 - 12/19 - 58 de ladite loi, qui ne sont pas applicables. Les règles d’évaluation prévues par la loi fédérale et ses dispositions d’exécution sont réservées (al. 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w:t>
      </w:r>
    </w:p>
    <w:p>
      <w:r>
        <w:rPr>
          <w:b/>
        </w:rPr>
        <w:t>E. 10</w:t>
      </w:r>
    </w:p>
    <w:p>
      <w:r>
        <w:t>En l’espèce, la recourante conteste la prise en compte de la valeur locative de l'immeuble qu'elle habite - dont ses enfants sont les nu-propriétaires - et dont elle est usufruitière, au motif que selon elle seul le propriétaire occupant son propre logement (et non l'usufruitier) pourrait se voir opposer la prise en compte de la valeur locative. Or, conformément à la jurisprudence précitée, un droit d'usufruit en faveur de la personne qui demande des prestations complémentaires représente pour sa titulaire une valeur économique, dans la mesure où elle obtient ainsi une prestation dont elle ne pourrait, à défaut, bénéficier sans engager d'autres moyens financiers. Selon les directives citées, pour les immeubles habités par le propriétaire, l’usufruitier ou le bénéficiaire d’un droit d’habitation, la valeur locative de l’immeuble doit être prise en compte dans les revenus. La valeur locative doit être déterminée d’après les règles de la législation sur l’impôt cantonal direct. Si le droit cantonal prévoit une éventuelle déduction pour cause d’usage propre, il importe de l’ignorer. À défaut de règles sur l’impôt cantonal direct, celles prévues par la législation sur l’impôt fédéral direct sont déterminantes (3433.02 DPC). C’est partant à bon droit que l’intimé a déterminé la valeur économique de l’usufruit sur la base de la valeur locative du bien grevé et qu’il en a tenu compte corrélativement, mais seulement à concurrence du montant maximum du loyer admissible pour une personne seule - dans les dépenses reconnues -, et dont le montant n'est pas litigieux. Quant aux autres éléments du calcul effectué par l’intimé (notamment le montant des rentes LPP et les frais d'entretien de l'immeuble), ils ne sont pas contestés par la recourante, et n’apparaissent pas non plus contestables au regard des pièces du dossier. Au vu de ce qui précède, le calcul opéré par l’intimé n’est pas critiquable et la décision entreprise s’avère conforme au droit en tant qu’elle tient compte, dans les revenus déterminants, de la valeur locative de la maison dont la recourante est usufruitière et dans les dépenses reconnues, d’un montant conforme à la législation</w:t>
      </w:r>
    </w:p>
    <w:p>
      <w:r>
        <w:t>A/3927/2019 - 13/19 - applicable pour la détermination forfaitaire des frais d'entretien. Il convient à cet égard d'observer que les pièces sur lesquelles se fonde la recourante pour faire valoir une valeur locative inférieure à celle retenue par le SPC ne sauraient entrer en ligne de compte. Ces informations au contribuable pour la déclaration 2017, respectivement 2018, indiquent le taux d'abattement applicable à son cas (selon les dispositions fiscales applicables), mais avec les réserves qui y sont mentionnées, et la précision que seule la décision de taxation est déterminante. Or le SPC s'est fondé sur les décisions de taxation de l'AFC, ce que la recourante ne conteste du reste pas. La recourante ne conteste pas les montants déterminés en termes de montants à restituer (subsides de l'assurance-maladie). Il est toutefois précisé qu'au vu des décisions successives rendues, le montant du subside de l'assurance-maladie à restituer selon la décision du 4 octobre 2017 de CHF 210.40 pour la période du 1er au 31 octobre 2017, selon décompte du service de l'assurance-maladie (ci-après : SAM) du 3 octobre 2017 (pièce 12 du dossier intimé concernant la recourante), se recoupe partiellement avec le montant à rembourser de CHF 530.40 pour les subsides de l'assurance-maladie indûment versés pendant la période du 1er octobre 2017 au 30 novembre 2017 selon décision du 10 novembre 2017 et décompte du SAM du 9 novembre 2017 (pièce 22 du dossier intimé concernant la recourante). Dans la mesure qui précède, la chambre de céans admettra très partiellement le recours, en tant que la décision entreprise laisse coexister la prétention en remboursement de montants de subsides de l'assurance-maladie se cumulant formellement (CHF 210.40 pour le mois d'octobre 2017, et CHF 530.40 pour les mois d'octobre et novembre 2017), alors que le premier de ces montants est manifestement inclus dans le second.</w:t>
      </w:r>
    </w:p>
    <w:p>
      <w:r>
        <w:rPr>
          <w:b/>
        </w:rPr>
        <w:t>E. 11</w:t>
      </w:r>
    </w:p>
    <w:p>
      <w:r>
        <w:t>En cours de procédure de recours, l'intimé répondant au recours (détermination du 19 novembre 2019) a précisé, s'agissant de la prise en compte dès 2018 de la valeur locative retenue par l'administration fiscale pour cette année-là, de CHF 17'708.- (pièce 57 du dossier intimé concernant la recourante et décision du 13 décembre 2017) que si cette dernière était prise en compte en lieu et place du montant de CHF 19'916.- retenu dans les plans de calcul à compter du 1er janvier 2018, cela ne changerait rien au fait que la recourante se trouverait toujours en dehors des barèmes lui permettant d'accéder aux prestations complémentaires; ce qui est exact. En effet, sur le plan fédéral (PCF), les plans de calcul prenant en compte une valeur locative de CHF 19'916.- dès le 1er janvier 2018 fixent un montant de CHF 11'045.- de revenu déterminant supérieur aux dépenses reconnues, et sur le plan cantonal (PCC), un excédent de revenu déterminant par rapport aux dépenses reconnues de CHF 4'674.-. Ainsi, comme le relève l'intimé, même en prenant en compte une valeur locative de CHF 17'708.- la différence par rapport aux plans de calcul ayant conduit à la décision litigieuse, de CHF 2'208.-, déterminerait toujours un excédent de revenu déterminant par rapport aux dépenses reconnues (de CHF 8'837.- pour les</w:t>
      </w:r>
    </w:p>
    <w:p>
      <w:r>
        <w:t>A/3927/2019 - 14/19 - PCF, et de CHF 2'466.- pour les PCC), ce qui ne permettrait pas à la recourante d'accéder aux prestations complémentaires. Ainsi cette modification n'entraînerait aucune conséquence par rapport à l'issue du recours. Néanmoins, dans la mesure où, comme on vient de le voir, le recours sera très partiellement admis, et la cause retournée à l'intimé pour nouvelle décision dans le sens des considérants, le SPC sera également invité à rectifier ses plans de calcul pour la période dès le 1er janvier 2018, en conformité avec les pièces du dossier.</w:t>
      </w:r>
    </w:p>
    <w:p>
      <w:r>
        <w:rPr>
          <w:b/>
        </w:rPr>
        <w:t>E. 12</w:t>
      </w:r>
    </w:p>
    <w:p>
      <w:r>
        <w:t>Au vu de ce qui précède, le recours dirigé contre la décision sur opposition du 20 septembre 2019 sera très partiellement admis, la cause étant retournée au SPC, pour nouvelle décision dans le sens des considérants.</w:t>
      </w:r>
    </w:p>
    <w:p>
      <w:r>
        <w:t>Du recours dirigé contre la décision sur opposition du 24 septembre 2019 (A/3928/2019).</w:t>
      </w:r>
    </w:p>
    <w:p>
      <w:r>
        <w:rPr>
          <w:b/>
        </w:rPr>
        <w:t>E. 13</w:t>
      </w:r>
    </w:p>
    <w:p>
      <w:r>
        <w:t>Le litige porte sur la remise de l’obligation de restituer la somme de CHF 8'666.-, étant précisé que la décision du 13 octobre 2016, fixant le principe et le montant de la restitution, est entrée en force, après le retrait, en date du 7 février 2017, de l'opposition que la recourante et son époux avaient formée contre cette décision.</w:t>
      </w:r>
    </w:p>
    <w:p>
      <w:r>
        <w:rPr>
          <w:b/>
        </w:rPr>
        <w:t>E. 14</w:t>
      </w:r>
    </w:p>
    <w:p>
      <w:r>
        <w:t>L’objet du litige dans la procédure juridictionnelle administrative subséquente est le rapport juridique qui - dans le cadre de l’objet de la contestation déterminé par la décision - constitue, d’après les conclusions du recours, l’objet de la décision effectivement attaqué (ATF 131 V 164 consid. 2.1 ; ATF 125 V 413 consid. 1b et 2 et les références citées).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Si la décision initiale ne porte que sur un seul rapport juridique - par ex. le droit de l'assuré à une rente d'invalidité -, celui-ci constitue uniquement l'objet de la procédure d'opposition. L'autorité valablement saisie d'une opposition devra donc se prononcer une seconde fois sur les aspects de ce rapport juridique en regard avec l'obligation d'articuler les griefs qui vaut en principe aussi dans la procédure d'opposition (ATF 119 V 347 consid. 1a et 1b p. 349 s. ; arrêts du Tribunal fédéral des assurances I 1/04 du 17 février 2005 consid. 1 et I 191/04 du 11 janvier 2005 consid. 2.2). En cas de recours ultérieur à un juge, ce rapport juridique constituera également l'objet du litige dont il a à connaître (ATF 125 V 413 consid. 2 p. 415 ss ; arrêt du Tribunal fédéral 8C_819/2017 du 25 septembre 2018). Dans le cadre d'une demande de remise de l'obligation de restituer, intervenant en principe après l'entrée en force de la décision se prononçant sur le principe de l'obligation de restituer et sur le montant à restituer, comme en l'espèce, le juge saisi</w:t>
      </w:r>
    </w:p>
    <w:p>
      <w:r>
        <w:t>A/3927/2019 - 15/19 - d'un recours contre le refus de remise de l'obligation de restituer ne peut se prononcer que sur la question de savoir si les conditions de cette remise étaient ou non réalisées. Les griefs remettant en cause les principes susénoncés entrés en force ne pouvant dès lors être examinés par la juridiction saisie du recours, ils sont irrecevables. De même, les arguments ou griefs portant sur des questions non soumises à l'autorité inférieure ne sauraient être examinés par le juge, ne faisant pas partie du litige. En l'espèce, les considérations de la recourante au sujet de la valeur locative prise en compte dans les plans de calcul de l'intimé ne font pas partie du litige, de sorte qu'elles ne peuvent être prises en considération. Elles sont donc irrecevables.</w:t>
      </w:r>
    </w:p>
    <w:p>
      <w:r>
        <w:rPr>
          <w:b/>
        </w:rPr>
        <w:t>E. 15</w:t>
      </w:r>
    </w:p>
    <w:p>
      <w:r>
        <w:t>Aux termes de l’art. 25 al. 1 2ème phrase LPGA, la restitution ne peut être exigée lorsque l'intéressé était de bonne foi et qu'elle le mettrait dans une situation difficile. a. La bonne foi - qui se présume (selon la règle générale qu’énonce l’art. 3 al. 1 du Code civil suisse, du 10 décembre 1907 - CC - RS 210) - est réalisée lorsque le bénéficiaire de prestations sociales versées en réalité à tort n’a pas eu conscience de leur caractère indu lorsqu’il les a touchées, pour autant que ce défaut de conscience soit excusable d’après une appréciation objective des circonstances du cas d’espèce. Il ne suffit donc pas que le bénéficiaire d'une prestation indue ait ignoré qu’il n’y avait pas droit pour admettre qu’il était de bonne foi. Il faut bien plutôt qu’il ne se soit rendu coupable, non seulement d’aucune intention malicieuse, mais aussi d’aucune négligence grave.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un tel élément (ATF 112 V 103 consid. 2c ; arrêt du Tribunal fédéral 9C_14/2007 du 2 mai 2007 consid. 4 ; DTA 2003 n° 29 p. 260 consid. 1.2 et les références ; RSAS 1999 p. 384 ; Ueli KIESER, op. cit., n. 47 ss ad art. 25, p. 391 s.). b.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sa part qu’il vérifie les éléments pris en compte par l’administration pour calculer son droit aux prestations. On peut attendre d'un assuré qu'il décèle des erreurs manifestes et qu'il en fasse l'annonce à la caisse (arrêt du Tribunal fédéral 9C_498/2012 du 7 mars 2013 consid. 4.2). La bonne foi doit être niée quand l'enrichi pouvait, au moment du versement, s'attendre à son obligation de restituer, parce qu'il savait ou devait</w:t>
      </w:r>
    </w:p>
    <w:p>
      <w:r>
        <w:t>A/3927/2019 - 16/19 - savoir, en faisant preuve de l'attention requise, que la prestation était indue (art. 3 al. 2 CC ; ATF 130 V 414 consid. 4.3 ; arrêt du Tribunal fédéral 8C_385/2011 du 13 février 2012 consid. 3 ; ATAS/646/2016 du 23 août 2016 consid. 3 ; ATAS/82/2016 du 2 février 2016 consid. 4). La condition de la bonne foi doit être réalisée dans la période où l’assuré concerné a reçu les prestations indues dont la restitution est exigée (arrêt du Tribunal fédéral 8C_766/2007 du</w:t>
      </w:r>
    </w:p>
    <w:p>
      <w:r>
        <w:rPr>
          <w:b/>
        </w:rPr>
        <w:t>E. 17</w:t>
      </w:r>
    </w:p>
    <w:p>
      <w:r>
        <w:t>Pour le surplus, la procédure est gratuite.</w:t>
      </w:r>
    </w:p>
    <w:p>
      <w:r>
        <w:t>A/3927/2019 - 19/19 -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