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ATAS/537/2019 vom 17. Juni 2019</w:t>
      </w:r>
    </w:p>
    <w:p>
      <w:r>
        <w:t>GE Cour de justice, 2019-06-17, FR</w:t>
      </w:r>
    </w:p>
    <w:p>
      <w:r>
        <w:rPr>
          <w:b/>
        </w:rPr>
        <w:t xml:space="preserve">Quelle: </w:t>
      </w:r>
      <w:r>
        <w:t>https://mcp.opencaselaw.ch/entscheid/ge_gerichte_ATAS_537_2019</w:t>
      </w:r>
    </w:p>
    <w:p>
      <w:r>
        <w:t>FR: GE_GERICHTE ATAS/537/2019 du 17 juin 2019</w:t>
      </w:r>
    </w:p>
    <w:p>
      <w:r>
        <w:t>IT: GE_GERICHTE ATAS/537/2019 del 17 giugno 2019</w:t>
      </w:r>
    </w:p>
    <w:p>
      <w:pPr>
        <w:pStyle w:val="Heading2"/>
      </w:pPr>
      <w:r>
        <w:t>Volltext</w:t>
      </w:r>
    </w:p>
    <w:p>
      <w:r>
        <w:t>Siégeant : Valérie MONTANI, Présidente, Maria-Esther SPEDALIERO et Christine WEBER-FUX, Juges assesseurs.</w:t>
      </w:r>
    </w:p>
    <w:p>
      <w:r>
        <w:t>RÉPUBLIQUE ET</w:t>
      </w:r>
    </w:p>
    <w:p>
      <w:r>
        <w:t>CANTON DE GEN ÈVE POUVOIR JUDICIAIRE</w:t>
      </w:r>
    </w:p>
    <w:p>
      <w:r>
        <w:t>A/2086/2019 ATAS/537/2019 COUR DE JUSTICE Chambre des assurances sociales Arrêt du 17 juin 2019 6ème Chambre</w:t>
      </w:r>
    </w:p>
    <w:p>
      <w:r>
        <w:t>En la cause Monsieur A______, domicilié à SAINT-JULIEN-EN-GENEVOIS, FRANCE</w:t>
      </w:r>
    </w:p>
    <w:p>
      <w:r>
        <w:t>contre</w:t>
      </w:r>
    </w:p>
    <w:p>
      <w:r>
        <w:t>demandeur</w:t>
      </w:r>
    </w:p>
    <w:p>
      <w:r>
        <w:t>Madame B______, domiciliée à JONZIER EPAGNY, FRANCE défenderesse</w:t>
      </w:r>
    </w:p>
    <w:p>
      <w:r>
        <w:t>2/4 _____________________________________________________________________________________</w:t>
      </w:r>
    </w:p>
    <w:p>
      <w:r>
        <w:t>A/2086/2019 Attendu en fait que le Tribunal de Grande Instance de Thonon-Les-Bains, en France, a prononcé, selon le jugement du 11 mars 2019, le divorce de Monsieur A______ et de Madame B______, mariés le 12 mai 2000, et a homologué la convention sous seing privé conclue entre les époux le 4 juin 2018, selon laquelle « Monsieur A______ accepte de voir partager ses avoirs de prévoyance en deux parts égales et de verser 82'702.- CHF provenant de son second pilier, à titre de prestation compensatoire, à Madame B______, ce que cette dernière déclare accepter » ; Que l’ex-époux a saisi la chambre des assurances sociales de la Cour de justice le 27 mai 2019 d’une demande concluant à la validation de son jugement de divorce par un Tribunal suisse, en spécifiant que cela avait été demandé par sa caisse de prévoyance, AXA Fondation LPP ; Attendu en droit qu’au 1er janvier 2017 est entrée en vigueur la modification des art. 122 ss du Code civil suisse du 10 décembre 1907 (CC - RS 210) concernant le partage des prestations de sortie des ex-époux, des art. 280 ss du code de procédure civile du 19 décembre 2008 (CPC - RS 272), des art. 63 ss de la loi fédérale sur le droit international privé du 18 décembre 1987 (LDIP - RS 291) et des art. 22 ss de la loi fédérale sur le libre passage dans la prévoyance professionnelle vieillesse, survivants et invalidité du 17 décembre 1993 (loi sur le libre passage, LFLP - RS 831.42) ; Qu’en l’occurrence, le jugement de divorce a été prononcé après le 1er janvier 2017, si bien que le nouveau droit est applicable ; Qu’en vertu de l’art. 63 al. 1, 1ère phrase LDIP, les tribunaux suisses compétents pour connaître d’une action en divorce ou en séparation de corps le sont également pour se prononcer sur les effets accessoires ; Que, conformément à l’al. 1bis de cette disposition, la compétence des tribunaux suisses est exclusive pour connaître du partage de prétentions de prévoyance professionnelle envers une institution suisse de prévoyance professionnelle ; Que l'art. 64 LDIP a la teneur suivante: "1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1bis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2 Le droit suisse régit l'action en complément ou en modification du divorce ou de la séparation de corps. Sont réservées les dispositions de la présente loi relatives au nom (art. 37 à 40), à l'obligation alimentaire entre époux (art. 49), au régime matrimonial (art. 52 à 57), aux effets de la filiation (art. 82 et 83) et à la protection des mineurs (art. 85)."</w:t>
      </w:r>
    </w:p>
    <w:p>
      <w:r>
        <w:t>3/4 _____________________________________________________________________________________</w:t>
      </w:r>
    </w:p>
    <w:p>
      <w:r>
        <w:t>A/2086/2019 Que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 Que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s.) ; Attendu qu’il résulte de ce qui précède que c'est le juge compétent en matière de divorce qui est également compétent pour se prononcer sur le partage des prétentions de prévoyance professionnelle, lorsque le divorce a été prononcé à l'étranger, et que la chambre des assurances sociales est par conséquent incompétente en la matière; Que la compétence qui lui est donnée par l’art. 134 al. 1 let. b de la loi sur l’organisation judiciaire du 26 septembre 2010 (LOJ - E 2 05) ne concerne que l’exécution du partage sur la base de la clé de répartition des prestations de prévoyance professionnelle décidée par le juge du divorce ; Que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Qu’en vertu de l’art. 72 de la loi sur la procédure administrative du 12 septembre 1985 (LPA – RSG E 5 10), l’autorité de recours peut, sans instruction préalable, par une décision sommairement motivée, écarter un recours manifestement irrecevable ou rejeter un recours manifestement mal fondé ; Que, cela étant, la demande sera déclarée irrecevable, le demandeur étant invité à mieux agir, à savoir devant le Tribunal de première instance, compétent en la matière. * * *</w:t>
      </w:r>
    </w:p>
    <w:p>
      <w:r>
        <w:t>4/4 _____________________________________________________________________________________</w:t>
      </w:r>
    </w:p>
    <w:p>
      <w:r>
        <w:t>A/2086/2019 PAR CES MOTIFS, LA CHAMBRE DES ASSURANCES SOCIALES : Statuant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