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ATAS/537/2018 vom 18. Juni 2018</w:t>
      </w:r>
    </w:p>
    <w:p>
      <w:r>
        <w:t>GE Cour de justice, 2018-06-18, FR</w:t>
      </w:r>
    </w:p>
    <w:p>
      <w:r>
        <w:rPr>
          <w:b/>
        </w:rPr>
        <w:t xml:space="preserve">Quelle: </w:t>
      </w:r>
      <w:r>
        <w:t>https://mcp.opencaselaw.ch/entscheid/ge_gerichte_ATAS_537_2018</w:t>
      </w:r>
    </w:p>
    <w:p>
      <w:r>
        <w:t>FR: GE_GERICHTE ATAS/537/2018 du 18 juin 2018</w:t>
      </w:r>
    </w:p>
    <w:p>
      <w:r>
        <w:t>IT: GE_GERICHTE ATAS/537/2018 del 18 giugno 2018</w:t>
      </w:r>
    </w:p>
    <w:p>
      <w:pPr>
        <w:pStyle w:val="Heading2"/>
      </w:pPr>
      <w:r>
        <w:t>Erwägungen</w:t>
      </w:r>
    </w:p>
    <w:p>
      <w:r>
        <w:rPr>
          <w:b/>
        </w:rPr>
        <w:t>E. 22</w:t>
      </w:r>
    </w:p>
    <w:p>
      <w:r>
        <w:t>Le 30 janvier 2018, le recourant a persisté dans ses conclusions.</w:t>
      </w:r>
    </w:p>
    <w:p>
      <w:r>
        <w:rPr>
          <w:b/>
        </w:rPr>
        <w:t>E. 23</w:t>
      </w:r>
    </w:p>
    <w:p>
      <w:r>
        <w:t>Sur ce, la cause a été gardée à juger. EN DROIT 1. Conformément à l'art. 134 al. 1 let. a ch. 3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Est litigieuse en l’occurrence la question de savoir si le recourant peut bénéficier d’une remise de l’obligation de restituer le solde de la somme due au SPC à la suite de la demande de restitution du 17 juin 2016. 4. À teneur de l’art. 25 al. 1 LPGA, les prestations indûment touchées doivent être restituées. La restitution ne peut être exigée lorsque l’intéressé était de bonne foi et qu’elle le mettrait dans une situation difficile. La teneur de cette disposition est répétée pour les PCF à l’art. 5C LPFC et pour les PCC à l’art. 24 al. 1 LPCC et, par le biais d’un renvoi par analogie à l'art. 25 LPGA, pour les subsides d’assurance-maladie à l’art. 33 al. 1 LaLAMal. La demande de remise ne peut être traitée sur le fond que si la décision de restitution est entrée en force. Une remise de l'obligation de restituer n'a en effet de sens que pour la personne tenue à restitution (arrêt du Tribunal fédéral 9C_211/2009 du 26 février 2010 consid. 3.1). La remise et son étendue font donc l'objet d'une procédure distincte.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w:t>
      </w:r>
    </w:p>
    <w:p>
      <w:r>
        <w:t>A/4937/2017 - 6/10 - grave. Il y a négligence grave quand un ayant droit ne se conforme pas à ce qui peut raisonnablement être exigé d’une personne capable de discernement dans une situation identique et dans les mêmes circonstances (ATF 110 V 181 consid. 3d;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La condition de la bonne foi doit être réalisée dans la période où l’assuré concerné a reçu les prestations indues dont la restitution est exigée (arrêt du Tribunal fédéral 8C_766/2007 du 17 avril 2008 consid. 4.1 et les références citées). 5.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arrêts du Tribunal fédéral des assurances P 22/06 du 23 janvier 2007, consid. 5; P 61/04 du 23 mars 2006, consid. et P 54/02 du 17 septembre 2003, consid. 3.3).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VSI 1996 p. 214). 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du Tribunal fédéral 9C_777/2013 du 13 février 2014). La chambre de céans a jugé qu'il y a lieu de tenir compte du fait que, jusqu’à la date du partage, l’héritier ne dispose que d’une expectative successorale et que la valeur de la succession n'est en principe ni déterminée, ni déterminable au moment du</w:t>
      </w:r>
    </w:p>
    <w:p>
      <w:r>
        <w:t>A/4937/2017 - 7/10 - décès. La prise en compte de la fortune à la date du décès du de cujus plutôt qu’à celle du partage effectif de la succession ne repose pas sur un accroissement réel des ressources à cette date mais sur la fiction que l'héritier a, dès cette date,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(ATAS/1267/2012 du 18 octobre 2012 ; ATAS/1412/2012 du 22 novembre 2012, arrêt annulé par le Tribunal fédéral, qui ne s'est toutefois pas prononcé sur cette question, dans un arrêt 9C_45/2013 du 23 août 2013 consid. 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w:t>
      </w:r>
    </w:p>
    <w:p>
      <w:r>
        <w:t>A/4937/2017 - 8/10 -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dépôt de la copie d'une pièce ne dit rien sur la remise de l'original à l'autorité (arrêt du Tribunal fédéral 8C_46/2012 du 8 mai 2012 consid. 4.3.). 7. En l’espèce, à teneur du dossier, le recourant n'a pas informé le SPC du fait qu'il avait hérité d'un bien immobilier à la suite du décès de son père, survenu le 10 octobre 2012. Il n’en a informé le SPC que dans le cadre de la révision de son dossier, initiée par le SPC à la fin de l'année 2015. Le recourant soutient avoir informé l'intimé de son héritage par courrier du 20 juin 2014, que le SPC conteste avoir reçu. Il a produit une copie du courrier en cause, ce qui ne suffit pas à établir son envoi effectif, pas plus que l'attestation de M. D______, qui pourrait être de complaisance et qui n'est guère convaincante dans la mesure où ce dernier n'est, à teneur du dossier, jamais intervenu auprès du SPC pour le compte du recourant. De plus, le recourant a écrit lui-même des courriers au SPC et il été à deux reprises représenté par une autre fiduciaire, qui avait alors elle- même rédigé les courriers adressés au SPC. Le recourant a indiqué dans son recours que sa fiduciaire avait informé le SPC du fait qu'il avait reçu un héritage, ce qui ne</w:t>
      </w:r>
    </w:p>
    <w:p>
      <w:r>
        <w:t>A/4937/2017 - 9/10 - correspond pas à la pièce produite, puisque c'est le recourant qui a lui-même rédigé le courrier du 20 juin 2014. L'on voit mal pour quel motif il n'aurait pas envoyé lui- même ce courrier. L'audition de M. D______ n'apparaît, dans ces circonstances, pas à même d'établir la réalité de l'envoi du courrier du 20 juin 2014, de sorte qu'il n'y a pas lieu de l'ordonner. Il en résulte qu'il n'est pas établi, au niveau de la vraisemblance prépondérante requise, que le courrier du 20 juin 2014 a effectivement été envoyé au SPC. Le recourant supportant le fardeau de la preuve, il doit être retenu qu'il ne l'a pas envoyé. Il faut également relever que l'obligation d'informer avait déjà débuté à la date du décès du père du recourant et que, malgré son obligation de contrôler les plans de calcul reçus en fin de chaque année, le recourant n’a pas informé le SPC que ceux- ci ne tenaient pas compte de son héritage. La condition de la bonne foi n’est ainsi pas réalisée et le recourant ne peut se voir accorder la remise de l'obligation de restituer, sans qu'il se justifie d'examiner si sa situation était difficile, dès lors que les deux conditions de l'art. 25 al. 1 LPGA sont cumulatives. 8. Infondé, le recours sera rejeté. 9. La procédure est gratuite.</w:t>
      </w:r>
    </w:p>
    <w:p>
      <w:r>
        <w:t>A/4937/2017 - 10/10 -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