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ATAS/536/2022 vom 13. Juni 2022</w:t>
      </w:r>
    </w:p>
    <w:p>
      <w:r>
        <w:t>GE Cour de justice, 2022-06-13, FR</w:t>
      </w:r>
    </w:p>
    <w:p>
      <w:r>
        <w:rPr>
          <w:b/>
        </w:rPr>
        <w:t xml:space="preserve">Quelle: </w:t>
      </w:r>
      <w:r>
        <w:t>https://mcp.opencaselaw.ch/entscheid/ge_gerichte_ATAS_536_2022</w:t>
      </w:r>
    </w:p>
    <w:p>
      <w:r>
        <w:t>FR: GE_GERICHTE ATAS/536/2022 du 13 juin 2022</w:t>
      </w:r>
    </w:p>
    <w:p>
      <w:r>
        <w:t>IT: GE_GERICHTE ATAS/536/2022 del 13 giugno 2022</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(LPCC - J 4 25) concernant les prestations complémentaires familiales au sens de l’art. 36A LPCC en vigueur dès le 1er novembre 2012. Sa compétence pour juger du cas d’espèce est ainsi établie.</w:t>
      </w:r>
    </w:p>
    <w:p>
      <w:r>
        <w:rPr>
          <w:b/>
        </w:rPr>
        <w:t>E. 1.2</w:t>
      </w:r>
    </w:p>
    <w:p>
      <w:r>
        <w:t>Selon l’art. 1A al. 2 LPCC, les prestations complémentaires familiales sont régies par les dispositions figurant aux titres IIA et III de la LPCC, les dispositions de la loi fédérale sur les prestations complémentaires à l’AVS et à l’AI du</w:t>
      </w:r>
    </w:p>
    <w:p>
      <w:r>
        <w:rPr>
          <w:b/>
        </w:rPr>
        <w:t>E. 6</w:t>
      </w:r>
    </w:p>
    <w:p>
      <w:r>
        <w:t>octobre 2006 (loi sur les prestations complémentaires ; LPC - RS 831.30) auxquelles la LPCC renvoie expressément, les dispositions d'exécution de la loi fédérale désignées par règlement du Conseil d'État et la loi fédérale sur la partie générale du droit des assurances sociales du 6 octobre 2000 (LPGA - RS 830). Interjeté dans les forme et délai légaux, le recours est recevable (art. 43 LPCC et 89B de la loi sur la procédure administrative du 12 septembre 1985 ; LPA - E 5 10). 2. Le litige porte sur la question de savoir si la recourante peut bénéficier d’une remise de l’obligation de restituer la somme de CHF 1'449.-. 2.1 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À teneur de l’art. 24 LPCC,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w:t>
      </w:r>
    </w:p>
    <w:p>
      <w:r>
        <w:t>A/3629/2021 - 6/11 - (RPCC-AVS/AI - J 4 25.03) prévoit que la restitution entière ou partielle des prestations allouées indûment, mais reçues de bonne foi, ne peut être exigée si l’intéressé se trouve dans une situation difficile. 2.2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des assurances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OPGA ; arrêt du Tribunal fédéral 9C_678/2011 du 4 janvier 2012 consid. 5.1.1 et 5.2). Le délai de trente jours prévu par l’art. 4 al. 4 OPGA pour le dépôt de la demande de remise est un délai d’ordre et non un délai de péremption (ATF 132 V 42 consid. 3). 3.</w:t>
      </w:r>
    </w:p>
    <w:p>
      <w:r>
        <w:t>3.1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 3.2 La réalisation de la condition de la bonne foi, présumée en règle générale (art. 3 du Code civil suisse, du 10 décembre 1907 - CC - RS 210), doit être examinée dans chaque cas à la lumière des circonstances concrètes (arrêt du Tribunal fédéral</w:t>
      </w:r>
    </w:p>
    <w:p>
      <w:r>
        <w:t>A/3629/2021 - 7/11 - 8C_269/2009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w:t>
      </w:r>
    </w:p>
    <w:p>
      <w:r>
        <w:rPr>
          <w:b/>
        </w:rPr>
        <w:t>E. 7</w:t>
      </w:r>
    </w:p>
    <w:p>
      <w:r>
        <w:t>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w:t>
      </w:r>
    </w:p>
    <w:p>
      <w:r>
        <w:t>A/3629/2021 - 8/11 - consid. 4 et 9C_14/2007 du 2 mai 2007 consid. 4 ; DTA 2003 n° 29 p. 260 consid. 1.2 et les références ; RSAS 1999 p. 384 ; Ueli KIESER, Kommentar zum Bundesgesetz über den Allgemeinen Teil des Sozialversicherungsrechts - ATSG, 2020, n. 65 ad art. 25 LPGA). 3.3 Les directives concernant les prestations complémentaires à l'assurance-vieillesse et survivants et à l'assurance-invalidité (ci-après : DPC), valables dès le 1er avril 2011 (état au 1er janvier 2021), énoncent que si une PC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PC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PC indues ont été acceptées en connaissance de leur caractère indu (DPC n° 4652.02). Commet une négligence grave celui qui, lors de la demande de prestations, de l’examen des conditions du droit ou du paiement de la PC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calculs des PC, n’annonce pas une erreur de calculs qu’elle aurait facilement pu reconnaître (DPC n° 4652.03). 3.4 L'art. 16c al. 1 de l’ordonnance sur les prestations complémentaires à l’assurance-vieillesse, survivants et invalidité, du 15 janvier 1971 (OPC-AVS/AI - RS 831.301), qui prévoit le partage du loyer lorsque des appartements ou des maisons familiales sont aussi occupés par des personnes non comprises dans le calcul des PC, ne fait pas directement référence à la notion de domicile au sens du droit civil. Par l'emploi du terme « occupés » (en allemand : « bewohnt » ; en italien : « occupati »), le Conseil fédéral a manifestement voulu se fonder sur la situation concrète de la personne concernée. Dans les faits, cela implique que cette dernière habite effectivement à la même adresse que la personne bénéficiaire des PC. Dans ces circonstances, le dépôt de papiers ou le domicile fiscal, comme indices formels, ne peuvent créer qu'une présomption de fait que d'autres indices peuvent permettre de renverser (arrêt du Tribunal fédéral 9C_807/2009 du 24 mars 2010 consid. 3.4 et la référence).</w:t>
      </w:r>
    </w:p>
    <w:p>
      <w:r>
        <w:t>A/3629/2021 - 9/11 - 3.5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4. En l’espèce, la recourante a reçu chaque année depuis le 1er octobre 2014, en annexe à la décision d’octroi de PC, le calcul détaillé sur la base duquel était établi son droit, notamment les revenus et charges pris en compte, ainsi qu’un document intitulé « communication importante » rappelant l’obligation de signaler tous changements intervenus dans la situation financière et invitant notamment « à contrôler attentivement » (mis en évidence dans le document lui-même) les montants figurant dans la décision la plus récente afin de s’assurer qu’ils correspondent bien à la situation réelle. Malgré ces informations, elle n'a informé l'intimé d'aucun changement dans sa situation jusqu'à la fin du mois de février 2021, au moment où son mari s'est vu notifier l'ordonnance du TPAE prononçant le placement de sa belle-fille au domicile familial, alors même que cette dernière vivait chez eux – selon ses dires en audience – depuis le décès de sa mère en juin 2018. Depuis cette date, la recourante qui avait pourtant reçu chaque année le rappel de ses obligations et qui, tenue de vérifier les calculs menant à l'octroi de prestations, pouvait constater le nombre de personnes prises en compte dans le cadre du loyer et donc que la présence de sa belle-fille était omise alors même qu'elle vivait avec eux, aurait dû attirer l'attention de l'intimé sur cet aspect. L'annonce qu'elle dit avoir faite au guichet du SPC en juin 2018, qui n'a fait l'objet d'aucune trace écrite, ne lui est d'aucun secours, puisqu'en constatant l'absence de prise en compte de cette information dans le calcul de ses prestations, il lui appartenait d'en faire part formellement à l'intimé.</w:t>
      </w:r>
    </w:p>
    <w:p>
      <w:r>
        <w:t>A/3629/2021 - 10/11 - Par ailleurs, l'hébergement de sa belle-fille ayant une influence sur ses propres prestations, elle ne peut se targuer d'une éventuelle inaction du SPMi, dans son mandat de tutelle provisoire, le devoir de communiquer toute modification lui revenant. Enfin, la recourante ne saurait être suivie lorsqu'elle soutient avoir attendu la réception d'une décision officielle pour la transmettre à l'intimé, qui ne se baserait que sur des documents officiels puisque la simple lecture des courriers de rappels des devoirs (tel celui du 9 décembre 2020) permet de constater que toute information susceptible d'aboutir à une modification du calcul des prestations doit être transmise sans délai. Au vu de ces éléments, la bonne foi de la recourante doit être niée. La remise de l’obligation de restituer ne pouvant être accordée que si les deux conditions cumulatives de la bonne foi et de la situation financière difficile sont réalisées, il n’y a pas lieu d’analyser la deuxième condition. 5. Au vu de ce qui précède, le recours est rejeté. 6. Pour le surplus, la procédure est gratuite (art. 61 let. a LPGA). * * * * * *</w:t>
      </w:r>
    </w:p>
    <w:p>
      <w:r>
        <w:t>A/3629/2021 - 11/11 -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