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ATAS/535/2023 vom 30. Juni 2023</w:t>
      </w:r>
    </w:p>
    <w:p>
      <w:r>
        <w:t>GE Cour de justice, 2023-06-30, FR</w:t>
      </w:r>
    </w:p>
    <w:p>
      <w:r>
        <w:rPr>
          <w:b/>
        </w:rPr>
        <w:t xml:space="preserve">Quelle: </w:t>
      </w:r>
      <w:r>
        <w:t>https://mcp.opencaselaw.ch/entscheid/ge_gerichte_ATAS_535_2023</w:t>
      </w:r>
    </w:p>
    <w:p>
      <w:r>
        <w:t>FR: GE_GERICHTE ATAS/535/2023 du 30 juin 2023</w:t>
      </w:r>
    </w:p>
    <w:p>
      <w:r>
        <w:t>IT: GE_GERICHTE ATAS/535/2023 del 30 giugno 2023</w:t>
      </w:r>
    </w:p>
    <w:p>
      <w:pPr>
        <w:pStyle w:val="Heading2"/>
      </w:pPr>
      <w:r>
        <w:t>Erwägungen</w:t>
      </w:r>
    </w:p>
    <w:p>
      <w:r>
        <w:rPr>
          <w:b/>
        </w:rPr>
        <w:t>E. 1.1</w:t>
      </w:r>
    </w:p>
    <w:p>
      <w:r>
        <w:t>Par arrêt du 15 février 2021, le Tribunal fédéral a renvoyé la cause à la chambre de céans pour instruction complémentaire par le biais d’une expertise judiciaire et nouvelle décision.</w:t>
      </w:r>
    </w:p>
    <w:p>
      <w:r>
        <w:rPr>
          <w:b/>
        </w:rPr>
        <w:t>E. 1.2</w:t>
      </w:r>
    </w:p>
    <w:p>
      <w:r>
        <w:t>La modification de la loi sur l’assurance-accidents (LAA – RS 832.20) du 25 septembre 2015, entrée en vigueur le 1er janvier 2017, n’est pas applicable à la présente procédure dès lors que l’accident est survenu avant cette novelle. La loi sera ainsi citée dans sa teneur en force au 31 janvier 2016.</w:t>
      </w:r>
    </w:p>
    <w:p>
      <w:r>
        <w:rPr>
          <w:b/>
        </w:rPr>
        <w:t>E. 2</w:t>
      </w:r>
    </w:p>
    <w:p>
      <w:r>
        <w:t>Le litige porte sur le droit du recourant à une rente d’invalidité supérieure au taux de 21% et à une IPAI supérieure au taux de 15%.</w:t>
      </w:r>
    </w:p>
    <w:p>
      <w:r>
        <w:rPr>
          <w:b/>
        </w:rPr>
        <w:t>E. 3.1</w:t>
      </w:r>
    </w:p>
    <w:p>
      <w:r>
        <w:t>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w:t>
      </w:r>
    </w:p>
    <w:p>
      <w:r>
        <w:t>A/2203/2017 - 10/18 -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w:t>
      </w:r>
    </w:p>
    <w:p>
      <w:r>
        <w:rPr>
          <w:b/>
        </w:rPr>
        <w:t>E. 3.2</w:t>
      </w:r>
    </w:p>
    <w:p>
      <w:r>
        <w:t>En l’espèce, l’intimée n’est pas liée par l’évaluation de l’OAI, dès lors que ce dernier n’avait pas statué définitivement lorsque la décision dont est recours a été rendue.</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4.1</w:t>
      </w:r>
    </w:p>
    <w:p>
      <w:r>
        <w:t>Aux termes de l’art. 16 LAA, l’assuré totalement ou partiellement incapable de travailler (art. 6 LPGA) à la suite d’un accident a droit à une indemnité journalière (al. 1). Le droit à l’indemnité journalière nait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4.2</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A/2203/2017 - 11/18 -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4.3</w:t>
      </w:r>
    </w:p>
    <w:p>
      <w:r>
        <w:t>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L'IPAI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L'IPAI est calculée selon les directives figurant à l'annexe 3 à l'ordonnance (al. 2). En cas de concours de plusieurs atteintes à l'intégrité physique, mentale ou psychique, dues à un ou plusieurs accidents, l'IPAI est fixée d'après l'ensemble du dommage (al. 3, 1ère phrase). Aux termes de l’art. 25 al. 1 LPGA, l’IPAI est allouée sous forme de prestation en capital. Elle ne doit pas excéder le montant maximum du gain annuel assuré à l’époque de l’accident et elle est échelonnée selon la gravité de l’atteinte à l’intégrité.</w:t>
      </w:r>
    </w:p>
    <w:p>
      <w:r>
        <w:rPr>
          <w:b/>
        </w:rPr>
        <w:t>E. 5</w:t>
      </w:r>
    </w:p>
    <w:p>
      <w:r>
        <w:t>La responsabilité de l'assureur-accident s'étend, en principe, à toutes les conséquences dommageables qui se trouvent dans un rapport de causalité naturelle avec l'événement assuré (ATF 119 V 335 consid. 1).</w:t>
      </w:r>
    </w:p>
    <w:p>
      <w:r>
        <w:t>A/2203/2017 - 12/18 -</w:t>
      </w:r>
    </w:p>
    <w:p>
      <w:r>
        <w:rPr>
          <w:b/>
        </w:rPr>
        <w:t>E. 5.1</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(ATF 142 V 435 consid. 1 ;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(ATF 143 II 661 consid. 5.1.2 ; 139 V 156 consid. 8.4.2 ; 129 V 177 consid. 3.2).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(cf. ATF 129 V 402 consid. 4.4.1 ; 115 V 133 consid. 6c/aa ;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(ATF 129 V 402 consid. 4.4.1 ; 115 V 133 consid. 6c/bb ; arrêt du Tribunal fédéral 8C_816/2021, consid. 3.3).</w:t>
      </w:r>
    </w:p>
    <w:p>
      <w:r>
        <w:rPr>
          <w:b/>
        </w:rPr>
        <w:t>E. 5.2</w:t>
      </w:r>
    </w:p>
    <w:p>
      <w:r>
        <w:t>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du Tribunal fédéral 8C_209/2020 du 18 janvier 2021</w:t>
      </w:r>
    </w:p>
    <w:p>
      <w:r>
        <w:t>A/2203/2017 - 13/18 - consid. 5.2.2). Ce critère est en principe admis en cas d’incapacité totale de travail de près de trois ans (arrêts du Tribunal fédéral 8C_547/2020 du 1er mars 2021, consid. 5.1 et 8C_600/2020 du 3 mai 2021). Ce critère n’est en revanche pas rempli dans le cas d’un assuré qui s’est trouvé en incapacité de travail totale pendant un peu plus d’une année (arrêt du Tribunal fédéral 8C_209/2020 précité), pendant un an et demi (arrêt du Tribunal fédéral 8C_627/2019 du 10 mars 2020, consid. 5.4.5), pendant vingt mois (arrêt du Tribunal fédéral 8C_93/2022, consid. 5.3), pendant 21 mois (arrêt du Tribunal fédéral 8C_600/2020 du 3 mai 2021) ou encore pendant deux ans et quatre mois (arrêt du Tribunal fédéral 8C_547/2020 du 1er mars 2021).</w:t>
      </w:r>
    </w:p>
    <w:p>
      <w:r>
        <w:rPr>
          <w:b/>
        </w:rPr>
        <w:t>E. 6.1</w:t>
      </w:r>
    </w:p>
    <w:p>
      <w:r>
        <w:t>En l’occurrence, conformément à l’arrêt du Tribunal fédéral du 15 février 2021, une surexpertise judiciaire a été ordonnée et confiée aux Drs V______ et W______. Fondée sur toutes les pièces du dossier, comprenant une anamnèse, la description des plaintes du recourant, un status clinique, des diagnostics clairs et une évaluation consensuelle convaincante des experts concernant l’exigibilité professionnelle, le rapport d’expertise bidisciplinaire judiciaire répond aux réquisits jurisprudentiels précités pour se voir reconnaitre une pleine valeur probante.</w:t>
      </w:r>
    </w:p>
    <w:p>
      <w:r>
        <w:rPr>
          <w:b/>
        </w:rPr>
        <w:t>E. 6.2</w:t>
      </w:r>
    </w:p>
    <w:p>
      <w:r>
        <w:t>Les parties admettent la valeur probante du rapport d’expertise bidisciplinaire, sous réserve, pour l’intimée, de la diminution de rendement de 10% sur la capacité de travail de 100% considérée comme exigible de la part du recourant. L’intimée relève en effet que les experts ont retenu une diminution de rendement due à l’utilisation de cannes, laquelle apparait incertaine et sollicite un complément d’expertise sur ce point.</w:t>
      </w:r>
    </w:p>
    <w:p>
      <w:r>
        <w:rPr>
          <w:b/>
        </w:rPr>
        <w:t>E. 6.2.1</w:t>
      </w:r>
    </w:p>
    <w:p>
      <w:r>
        <w:t>A cet égard, les experts ont clairement relevé que le recourant utilise des cannes pour se déplacer (rapport du Dr V______ pp. 3 et 13 et du Dr W______ p. 29). Par ailleurs, si l’évaluation consensuelle a effectivement mentionné une diminution de rendement de 10% en raison de l’utilisation de cannes (rapport du Dr V______ p. 22 et du Dr W______ p. 50), le rapport du Dr V______ est plus précis puisqu’il explique que le recourant n’a pas la mobilité réactive nécessaire pour se déplacer dans un bureau, ne serait-ce que pour aller chercher un document ou rester debout un long moment devant une photocopieuse, ce qui engendre nécessairement une diminution de rendement qu’il est difficile de chiffrer avec exactitude. Il indique que, néanmoins, si on considère que sur une heure de travail il serait amené à se lever entre cinq et dix minutes en tout, on peut estimer la diminution de rendement à 10% (rapport du Dr V______ p. 12). Les déplacements évoqués par le Dr V______ sont usuels pour une activité de bureau et peuvent être admis. Ces explications permettent de comprendre que même dans une activité adaptée, de type bureau, en position assise, ne nécessitant pas de déplacement</w:t>
      </w:r>
    </w:p>
    <w:p>
      <w:r>
        <w:t>A/2203/2017 - 14/18 - régulier et sans port de charges même légères, le recourant présente, en raison de ses difficultés de mobilité, une diminution de rendement de 10%. Celle-ci, convaincante et motivée, peut être confirmée.</w:t>
      </w:r>
    </w:p>
    <w:p>
      <w:r>
        <w:rPr>
          <w:b/>
        </w:rPr>
        <w:t>E. 6.2.2</w:t>
      </w:r>
    </w:p>
    <w:p>
      <w:r>
        <w:t>En conséquence, un taux d’activité exigible de 45% peut être retenu dès le 25 mai et de 90% dès le 22 juin 2009 et, par appréciation anticipée des preuves, il sera renoncé à l’ordonnance d’une complément d’expertise auprès des experts judiciaires.</w:t>
      </w:r>
    </w:p>
    <w:p>
      <w:r>
        <w:rPr>
          <w:b/>
        </w:rPr>
        <w:t>E. 6.3</w:t>
      </w:r>
    </w:p>
    <w:p>
      <w:r>
        <w:t>Enfin, le taux de l’IPAI, fixé à 30% par les experts, est admis par les parties de sorte qu’il sera confirmé.</w:t>
      </w:r>
    </w:p>
    <w:p>
      <w:r>
        <w:rPr>
          <w:b/>
        </w:rPr>
        <w:t>E. 7</w:t>
      </w:r>
    </w:p>
    <w:p>
      <w:r>
        <w:t>S’agissant du lien de causalité adéquate entre les troubles psychiques du recourant et l’accident, le Tribunal fédéral a constaté que l’accident était classé dans la catégorie des accidents de catégorie moyenne stricto sensu, ce qui n’est d’ailleurs pas contesté par les parties et que les deux critères déterminants des douleurs physiques persistantes et des difficultés apparues au cours de la guérison et les complications importantes, étaient réalisés. Il a considéré que le critère du degré et de la durée de l’incapacité de travail pour les troubles physiques devait être évalué lorsque la surexpertise aurait établi les atteintes somatiques. Enfin, les autres critères n’étaient pas réalisés (durée anormalement longue du traitement médical, erreur dans le traitement médical entrainant une aggravation notable des séquelles de l’accident, circonstances concomitantes particulièrement dramatiques ou le caractère particulièrement important de l’accident ; gravité ou nature particulière des lésions physiques). Il convient en conséquence d’examiner si le critère du degré et de la durée de l’incapacité de travail est réalisé, étant relevé que si celui-ci est admis, le lien de causalité adéquate entre l’accident et le trouble psychique doit également être admis.</w:t>
      </w:r>
    </w:p>
    <w:p>
      <w:r>
        <w:rPr>
          <w:b/>
        </w:rPr>
        <w:t>E. 7.1</w:t>
      </w:r>
    </w:p>
    <w:p>
      <w:r>
        <w:t>Les experts judiciaires ont conclu à une incapacité de travail totale du recourant, dans toute activité, du 18 mai 2007 au 24 mai 2009, soit pendant une durée de presque 24 mois. La capacité de travail était ensuite de 45% jusqu’au 21 juin 2009 et de 90% au-delà.</w:t>
      </w:r>
    </w:p>
    <w:p>
      <w:r>
        <w:rPr>
          <w:b/>
        </w:rPr>
        <w:t>E. 7.2</w:t>
      </w:r>
    </w:p>
    <w:p>
      <w:r>
        <w:t>Au vu de la jurisprudence précitée, laquelle considère qu’une incapacité de travail totale de près de trois ans permet d’admettre le critère du degré et de la durée de l’incapacité de travail et celle qui refuse d’admettre ce critère sur la base d’une incapacité de travail totale de 21 mois et de deux ans et quatre mois, l’incapacité de travail totale de 24 mois du recourant est insuffisante pour considérer que ce critère est réalisé. L’arrêt du Tribunal fédéral du 9 juillet 1997 évoqué par le recourant, lequel admet ledit critère sur la base d’une incapacité de travail totale de dix-huit mois est antérieur aux jurisprudences précitées qui se réfèrent à une durée de presque trois ans, de sorte qu’il ne peut l’emporter sur celles-ci. Il en est de même de l’ATAS/849/2012 du 25 juin 2012, lequel admet ce critère sur la base d’une incapacité de travail totale de deux ans. En outre, au vu</w:t>
      </w:r>
    </w:p>
    <w:p>
      <w:r>
        <w:t>A/2203/2017 - 15/18 - de la jurisprudence précitée, le fait que la dernière activité n’est plus exigible n’est pas déterminant, tout comme la diminution de rendement de 10%, même si elle perdure vu qu’elle se rapporte à une capacité de travail totale reconnue au recourant depuis le 22 juin 2009. Partant, le critère du degré et de la durée de l’incapacité de travail doit en l’occurrence être nié, ce qui conduit à exclure le lien de causalité adéquate entre les troubles psychiques du recourant et l’accident. La question de la valeur probante de l’expertise du Dr L______ peut dès lors rester ouverte.</w:t>
      </w:r>
    </w:p>
    <w:p>
      <w:r>
        <w:rPr>
          <w:b/>
        </w:rPr>
        <w:t>E. 8.1</w:t>
      </w:r>
    </w:p>
    <w:p>
      <w:r>
        <w:t>Il convient de calculer le degré d’invalidité sur la base d’une capacité de travail exigible du recourant de 90% dans une activité adaptée à ses limitations fonctionnelles, depuis le 1er mars 2016. Les revenus sans et avec invalidité tels que retenus par l’intimé ne sont pas contestés, soit un revenu sans invalidité de CHF 76'909.- et un revenu d’invalide, pour un taux d’activité de 100%, de CHF 61'094.- Compte tenu d’un taux d’activité exigible du recourant de 90%, le revenu d’invalide est finalement de CHF 54'984.-. Le taux d’invalidité est ainsi de : 76'909 - 54’984 = 28,5%, arrondi à 29% 76’909</w:t>
      </w:r>
    </w:p>
    <w:p>
      <w:r>
        <w:rPr>
          <w:b/>
        </w:rPr>
        <w:t>E. 8.2</w:t>
      </w:r>
    </w:p>
    <w:p>
      <w:r>
        <w:t>Enfin, le taux de l’IPAI de 30% retenu par les experts est admis par les parties.</w:t>
      </w:r>
    </w:p>
    <w:p>
      <w:r>
        <w:rPr>
          <w:b/>
        </w:rPr>
        <w:t>E. 9</w:t>
      </w:r>
    </w:p>
    <w:p>
      <w:r>
        <w:t>Au demeurant, le recours sera partiellement admis, la décision litigieuse annulée et il sera dit que le recourant a droit à une rente d’invalidité de 29% depuis le 1er mars 2016 ainsi qu’à une IPAI de 30%. Conformément à l’art. 26 al. 2 LPGA, et comme requis par le recourant, un intérêt moratoire de 5% est dû dès le 1er mars 2018 sur le montant de la rente d’invalidité et sur le montant de l’IPAI non encore perçu.</w:t>
      </w:r>
    </w:p>
    <w:p>
      <w:r>
        <w:rPr>
          <w:b/>
        </w:rPr>
        <w:t>E. 10.1</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w:t>
      </w:r>
    </w:p>
    <w:p>
      <w:r>
        <w:t>A/2203/2017 - 16/18 - relatifs à la procédure administrative au sens de l'art. 45 LPGA qui doivent être pris en charge par l'assurance-invalidité (arrêt du Tribunal fédéral 8C_312/2016 du 13 mars 2017 consid. 6.2). Dans la mesure où, en principe, les mêmes règles de procédure, à savoir les art. 43 à 49 LPGA, sont applicables à l'instruction de la demande aussi bien en matière d'assurance-invalidité que dans le domaine de l'assurance-accidents, les principes jurisprudentiels régissant la prise en charge des frais d'expertise du COMAI par les offices de l'assurance-invalidité valent également par analogie lorsque le tribunal cantonal juge un complément d'instruction nécessaire et ordonne la mise en œuvre d'une expertise au lieu de renvoyer la cause à l'assureur-accidents.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(ATF 137 V 210 consid. 4.4.4).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(arrêt du Tribunal fédéral 8C_333/2019 du 18 septembre 2019 consid. 3).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arrêt du Tribunal fédéral 8C_580/2019 du 6 avril 2020 consid. 5.1).</w:t>
      </w:r>
    </w:p>
    <w:p>
      <w:r>
        <w:rPr>
          <w:b/>
        </w:rPr>
        <w:t>E. 10.2</w:t>
      </w:r>
    </w:p>
    <w:p>
      <w:r>
        <w:t>En l’occurrence, le Tribunal fédéral a estimé que l’expertise judiciaire du Dr U______ devait être écartée et qu’une surexpertise était nécessaire, les seules appréciations des médecins-conseils de l’intimée n’ayant pas la même valeur</w:t>
      </w:r>
    </w:p>
    <w:p>
      <w:r>
        <w:t>A/2203/2017 - 17/18 - qu’une expertise administrative ou judiciaire. Partant, il convient d’admettre que l’instruction à laquelle a procédé l’intimée était lacunaire, de sorte que les frais d’expertise judiciaire en CHF 11'000.- (rapport d’expertise du Dr W______ du 7 octobre 2022 - facture du 18 juin 2023) et CHF 18'000.- (rapport d’expertise du Dr V______ du 19 octobre 2022 - facture du 25 mai 2023) seront mis à sa charge.</w:t>
      </w:r>
    </w:p>
    <w:p>
      <w:r>
        <w:rPr>
          <w:b/>
        </w:rPr>
        <w:t>E. 10.3</w:t>
      </w:r>
    </w:p>
    <w:p>
      <w:r>
        <w:t>Pour le surplus, le recourant obtenant partiellement gain de cause, une indemnité de CHF 3'000.- lui sera accordée à titre de participation à ses frais et dépens (art. 61 let. g LPGA ; art. 6 du règlement sur les frais, émolument et indemnités en matière administrative du 30 juillet 1986 [RFPA – E 5 10.03]).</w:t>
      </w:r>
    </w:p>
    <w:p>
      <w:r>
        <w:t>A/2203/2017 - 18/18 -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