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ATAS/535/2008 vom 6. Mai 2008</w:t>
      </w:r>
    </w:p>
    <w:p>
      <w:r>
        <w:t>GE Cour de justice, 2008-05-06, FR</w:t>
      </w:r>
    </w:p>
    <w:p>
      <w:r>
        <w:rPr>
          <w:b/>
        </w:rPr>
        <w:t xml:space="preserve">Quelle: </w:t>
      </w:r>
      <w:r>
        <w:t>https://mcp.opencaselaw.ch/entscheid/ge_gerichte_ATAS_535_2008</w:t>
      </w:r>
    </w:p>
    <w:p>
      <w:r>
        <w:t>FR: GE_GERICHTE ATAS/535/2008 du 6 mai 2008</w:t>
      </w:r>
    </w:p>
    <w:p>
      <w:r>
        <w:t>IT: GE_GERICHTE ATAS/535/2008 del 6 maggio 2008</w:t>
      </w:r>
    </w:p>
    <w:p>
      <w:pPr>
        <w:pStyle w:val="Heading2"/>
      </w:pPr>
      <w:r>
        <w:t>Erwägungen</w:t>
      </w:r>
    </w:p>
    <w:p>
      <w:r>
        <w:rPr>
          <w:b/>
        </w:rPr>
        <w:t>E. 21</w:t>
      </w:r>
    </w:p>
    <w:p>
      <w:r>
        <w:t>Un délai a été fixé aux recourants au 17 mars 2008 pour d'éventuelles écritures. Le directeur s'est déterminé par courrier du 21 février 2008. Il relève que sa société a cessé de facturer ses honoraires à la fin du mois de janvier 2002, d'où un manque à gagner de 24'000 fr. jusqu'au mois de mars 2002, ou de 48'000 fr. si l'on retient comme date butoir celle du mois de mai 2002. Il ne pouvait, pour sa part, pas prendre la décision de déposer le bilan, n'étant pas actionnaire de la société et ne pouvant plus communiquer avec lui. Il a dès lors démissionné, puisqu'il était dans l'impossibilité de remplir sa mission. L'absence des pièces comptables l'empêche, cela étant, de défendre certains points de façon plus précise. Par ailleurs la caisse n'a jamais rectifié l'erreur consistant à retenir un salaire de mécanicien pour le siège social. Des solutions ont été recherchées, à temps, ce que la correspondance produite atteste.</w:t>
      </w:r>
    </w:p>
    <w:p>
      <w:r>
        <w:rPr>
          <w:b/>
        </w:rPr>
        <w:t>E. 22</w:t>
      </w:r>
    </w:p>
    <w:p>
      <w:r>
        <w:t>L'administrateur, pour sa part, n'a pas déposé d'écriture. Sur quoi, la cause a été gardée à juger le 27 mars 2008.</w:t>
      </w:r>
    </w:p>
    <w:p>
      <w:r>
        <w:t>A/1121/2007 - 10/16 - EN DROIT 1.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2. La LPGA est entrée en vigueur le 1er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la décision à l’origine du litige datant du 29 novembre 2005, de sorte que les dispositions légales seront citées dans leur nouvelle teneur. 3. 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ATFA du 30 novembre 2004 en la cause H 96/03). Le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w:t>
      </w:r>
    </w:p>
    <w:p>
      <w:r>
        <w:t>A/1121/2007 - 11/16 -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réputé suffisamment connu lors du dépôt de l'état de collocation (cf. VSI 1993 p. 110 ; ATF 119 V 92). b) En l’espèce, l'état de collocation a été publié le 13 octobre 2004. C’est donc à ce moment que la caisse a eu connaissance du fait qu’elle allait subir un dommage, fait confirmé depuis puisque l'Office des faillites a indiqué qu'aucun dividende ne serait versé aux créanciers. La décision en réparation du dommage, notifiée le 29 novembre 2005, est par conséquent intervenue dans le délai péremptoire de deux ans prescrit par l’art. 52 al. 3 LAVS. Par ailleurs, les oppositions comme les recours ont été déposés dans les délais légaux. Les recours sont dès lors recevables par la forme (art. 52 LAVS et 60 al. 1 LPGA). On relèvera à propos du recours de l'administrateur qu'il a été envoyé certes à une mauvaise adresse mais dans les délais légaux puisqu'il l'a été à la fin du mois de mars 2007 (la décision sur opposition a été reçue le 28 février), et a transité jusqu'au 3 avril 2007 entre deux offices postaux puis a été envoyé par recommandé le 4 avril 2007 à la caisse cantonale genevoise de compensation qui la elle-même acheminée au Tribunal de céans. 4. a)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13 sv. consid. 3.5). Le TF a ainsi déjà affirmé que l’on ne pouvait inférer ni du message du Conseil fédéral concernant la 11ème révision de l’AVS ni des</w:t>
      </w:r>
    </w:p>
    <w:p>
      <w:r>
        <w:t>A/1121/2007 - 12/16 - travaux préparatoires de la LPGA des raisons de s’écarter de la jurisprudence constante relative à l’art. 52 LAVS. b) En l’espèce, le dommage consiste en la perte de la créance de cotisations subie par la caisse, pour la somme de 4'192 fr. 30 et 29'403 fr. 75 correspondant aux cotisations dues par la société pour la période de décembre 2001, janvier à mai 2002, ainsi qu'un complément 2001 et un solde de frais pour la période d'août et septembre 2001. Le dommage total est donc de 33'596 fr. 05 (4'192 fr. 30 + 29'403 fr. 75). L'instruction a permis d'établir que le siège n'avait pas de salariés et que le salaire annoncé à tort pour le siège n'a pas été compté deux fois par la caisse. 5. 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TFA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Par "organe", il faut entendre toute personne physique qui représente la personne morale à l'extérieur ou qui peut exercer une influence décisive sur le comportement de celle-ci (no 6004 DP). Lorsqu'il est saisi du cas d'une société anonyme, le TFA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w:t>
      </w:r>
    </w:p>
    <w:p>
      <w:r>
        <w:t>A/1121/2007 - 13/16 -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du 21 avril 1988 en la cause A; FORSTMOSER, Die aktienrechtliche Verantwortlichkeit, 2ème éd., p. 209 et ss). c) Dans le cas d'espèce, M. F_________, ancien administrateur inscrit au RC, est à l'évidence un organe au sens des règles susmentionnées. Tel est également le cas de M. E_________, inscrit en qualité de directeur, qui était organe de fait de la société. L'instruction a en effet permis d'établir qu'il dirigeait celle-ci comme la sienne propre et était à même de prendre toutes les décisions relatives à sa gestion. Il ne conteste d'ailleurs pas sa qualité d'organe. 6. a) Reste à examiner si ces deux organes doivent être tenus pour responsable du dommage subi par la caisse. b) Le TFA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 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w:t>
      </w:r>
    </w:p>
    <w:p>
      <w:r>
        <w:t>A/1121/2007 - 14/16 - (RCC 1992 p. 262, 268 sv. consid. 7b), à l’exception du cas dans lequel la société était déjà surendettée au moment où l’administrateur est entré en fonction. Par ailleurs,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S'accommoder, par passivité, du non-paiement des cotisations est constitutif d'une négligence grave (RCC 1989 p. 114). Enfin, lorsque les administrateurs sauvegardent leurs intérêts alors qu'aucune perspective d'assainissement n'est envisageable ni envisagée, leur responsabilité doit s'apprécier avec une extrême rigueur (cf. ATF 113 II 57). On peut, en effet, attendre des administrateurs propriétaires de l'entreprise qu'ils revoient à tout le moins la baisse leur rémunération à partir du moment où la mise en liquidation de la société est envisagée et que des dettes importantes de cotisation existent (cf. ATF non publié du 6 février 2006, cause H 174/05).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jurisprudences citées; ATFA 277/01 du 29 août 2002 consid. 2 ; ATF 108 V 188). 7. c) En l'espèce, les cotisations sociales ont été très régulièrement versées jusqu'au mois de novembre 2001 compris, les derniers mois avec un délai de trois mois. Les cotisations sont restées impayées depuis le mois de décembre 2001 jusqu'au mois de mai 2002, derniers mois d'activité de la société avant sa faillite le 10 juin. La période du non-paiement des cotisations est par conséquent relativement courte. La caisse reproche essentiellement aux recourants de ne pas l'avoir immédiatement informée de l'augmentation de la masse salariale, ce qui a selon elle causé le dommage, puisque lorsque la caisse a eu connaissance des salaires versés en 2001 et qu'elle a notifié à un complément de cotisation, la société n'était plus en mesure de s'en acquitter. Il est exact qu'une importante augmentation de la masse salariale aurait dû être communiquée à la caisse en cours d'année. Toutefois, si l'on se réfère aux faits tels que décrits sous chiffre 3), on peut constater que l'augmentation de la masse salariale n'a pas été soudaine, que des changements dans le personnel, en</w:t>
      </w:r>
    </w:p>
    <w:p>
      <w:r>
        <w:t>A/1121/2007 - 15/16 - hausse et en baisse, sont survenus à intervalles plus ou moins réguliers, en tous les cas plusieurs fois par année, et qu'en nombre de salariés la société a passé de quatre personnes en janvier 2000, à 12 personnes au mois de décembre 2000, quatre salariés ayant été engagés au mois de décembre de l'année 2000. En l'an 2001 la société a eu jusqu'à 17 personnes salariées dont deux sont parties en cours d'année. Il en résulte qu'à la production de l'attestation de salaire annuelle 2000, faite au début du mois de février 2001, la caisse aurait pu réajuster le montant des factures de cotisation mensuelle. Par ailleurs, vu les mouvements réguliers de personnel il ne peut être reproché aux recourants de ne pas en avoir informé systématiquement la caisse. Les difficultés de la société ont commencé avec le désintéressement soudain de l'actionnaire principal, vers le printemps 2001, mais à ce moment-là les cotisations pouvaient encore être payées puisqu'elles l'ont été jusqu'à la fin de l'année. À cela s'est ajouté les poursuites introduites par la société qui sera, finalement, responsable de sa faillite. Un concours de circonstances a fait que la société n'a pas été en mesure de faire opposition à ce commandement de payer. Dès la mi-2001, les recourants ont entrepris de trouver de nouveaux investisseurs. Plusieurs contacts, porteurs d'espoir, ont été concrétisé mais n'ont finalement pas abouti. Il a été envisagé de vendre les centres d'exploitation, démarche rendue difficile puisque la société était franchisée de Y_________ et devait donc obtenir son accord pour la vente. Au moment où ces mesures sont prises, elles apparaissent comme les seules adaptées, et rien ne permet de penser qu’elles seront vaines. Dès que les dernières démarches auprès d'investisseurs ont échoué, en mars 2002, la société a entrepris de licencier le personnel. En raison des délais de congé cela a prolongé l'activité de la société jusqu'à la fin du mois de mai 2002. On peine à voir comment la société aurait pu accélérer ses démarches, et la caisse, qui se contente de l'alléguer, ne donne pas d'indications concrètes à ce sujet. La caisse allègue également que le fait que le directeur ait touché des honoraires encore au mois de mars 2002 serait de nature à démontrer que la société a privilégié d'autres paiements que celui des cotisations. Cet argument tombe à faux. D'une part l'instruction a permis d'établir que le montant versé au directeur en mars 2002 a été le dernier, d'un montant de 4000 fr., alors que le solde qui lui était dû à cette date était encore de 12'715 fr. Par ailleurs, il ne s'agit pas d'un versement fait à un fournisseur, mais d'un montant d'honoraire correspondant à une partie du salaire du directeur de la société. Lui-même est resté débiteur de celle-ci puisqu'il a cessé de facturer ses honoraires à la fin du mois de janvier 2002. Quant à l'administrateur, il n'a jamais été rémunéré. Les recourants n'ont par conséquent jamais privilégié leurs intérêts, au contraire. d) Au vu de l'ensemble de ces éléments, le Tribunal considère qu'aucune négligence grave ne peut être reprochée, ni à l'administrateur, ni au directeur. Par conséquent, les recours seront admis, et les décisions en réparation du dommage annulées.</w:t>
      </w:r>
    </w:p>
    <w:p>
      <w:r>
        <w:t>A/1121/2007 - 16/16 -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