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ATAS/534/2025 vom 8. Juli 2025</w:t>
      </w:r>
    </w:p>
    <w:p>
      <w:r>
        <w:t>GE Cour de justice, 2025-07-08, FR</w:t>
      </w:r>
    </w:p>
    <w:p>
      <w:r>
        <w:rPr>
          <w:b/>
        </w:rPr>
        <w:t xml:space="preserve">Quelle: </w:t>
      </w:r>
      <w:r>
        <w:t>https://mcp.opencaselaw.ch/entscheid/ge_gerichte_ATAS_534_2025</w:t>
      </w:r>
    </w:p>
    <w:p>
      <w:r>
        <w:t>FR: GE_GERICHTE ATAS/534/2025 du 8 juillet 2025</w:t>
      </w:r>
    </w:p>
    <w:p>
      <w:r>
        <w:t>IT: GE_GERICHTE ATAS/534/2025 del 8 luglio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des cas d’espèce est ainsi établie.</w:t>
      </w:r>
    </w:p>
    <w:p>
      <w:r>
        <w:rPr>
          <w:b/>
        </w:rPr>
        <w:t>E. 1.2</w:t>
      </w:r>
    </w:p>
    <w:p>
      <w:r>
        <w:t>Interjeté en temps utile, les recours sont prima facie recevables (art. 60 al. 1 LPGA).</w:t>
      </w:r>
    </w:p>
    <w:p>
      <w:r>
        <w:t>A/1159/2025 - 8/10 -</w:t>
      </w:r>
    </w:p>
    <w:p>
      <w:r>
        <w:rPr>
          <w:b/>
        </w:rPr>
        <w:t>E. 2</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En l’espèce, il se justifie de joindre la procédure A/1161/2025 à la procédure A/1159/2025, car elles concernent une situation similaire.</w:t>
      </w:r>
    </w:p>
    <w:p>
      <w:r>
        <w:rPr>
          <w:b/>
        </w:rPr>
        <w:t>E. 3</w:t>
      </w:r>
    </w:p>
    <w:p>
      <w:r>
        <w:t>Les recourants ont conclu à des mesures provisionnelles, tendant à la suspension avec effet au 1er mars 2024 de leur affiliation d’office auprès de la CSS et Assura, à l’annulation des décisions de ces dernières et de toutes les factures, sommations et prétentions de celles-ci à leur encontre, et à ce qu’il soit ordonné à la CSS de donner un contrordre à la poursuite et au commandement de payer notifié à l’assuré le 11 novembre 2024.</w:t>
      </w:r>
    </w:p>
    <w:p>
      <w:r>
        <w:rPr>
          <w:b/>
        </w:rPr>
        <w:t>E. 3.1</w:t>
      </w:r>
    </w:p>
    <w:p>
      <w:r>
        <w:t>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 que l'assureur peut, sur requête ou d'office, retirer l'effet suspensif ou rétablir l'effet suspensif retiré dans la décision ; qu’une telle requête doit être traitée sans délai (al. 2). Selon les art. 49 al. 5 et 52 al. 4 LPGA,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Conformément à l'art. 55 al. 1 LPGA, qui prévoit que les points de procédure, qui ne sont pas réglés de manière exhaustive aux art. 27 à 54 LPGA ou par les dispositions des lois spéciales sont régis par la loi fédérale sur la procédure du 20 décembre 1968 (PA - RS 172.021), il convient de se référer aux art. 55 et 56 de cette dernière. Selon l'art. 56 PA, après le dépôt du recours, l'autorité de recours, son président ou le juge instructeur peut prendre d'autres mesures provisionnelles, d'office ou sur requête d'une partie, pour maintenir intact un état de fait existant ou sauvegarder des intérêts menacés.</w:t>
      </w:r>
    </w:p>
    <w:p>
      <w:r>
        <w:t>A/1159/2025 - 9/10 - Compte tenu de l'étroite connexité liant l'effet suspensif aux autres mesures provisionnelles au sens de l'art. 56 PA, les principes applicables au retrait de l'effet suspensif s'appliquent par analogie à ces mesures.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À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w:t>
      </w:r>
    </w:p>
    <w:p>
      <w:r>
        <w:rPr>
          <w:b/>
        </w:rPr>
        <w:t>E. 3.2</w:t>
      </w:r>
    </w:p>
    <w:p>
      <w:r>
        <w:t>En l’espèce, l’intimé n’a pas retiré l’effet suspensif à ses décisions d’affiliation d’office du 12 mars 2024, ni à ses décisions sur opposition du 27 février 2025, qui confirmaient ses décisions d’affiliation d’office. Il en résulte que celles-ci ne sont pas exécutoires. La demande des recourants est ainsi partiellement sans objet. Ils ne se justifie en outre pas d’ordonner d’autres mesures provisionnelles, leurs intérêts étant suffisamment protégés par les demandes faites par l’intimé le 8 avril 2025 à CSS et Assura de suspendre la procédure de recouvrement à leur encontre. La suite de la procédure est réservée.</w:t>
      </w:r>
    </w:p>
    <w:p>
      <w:r>
        <w:t>A/1159/2025 - 10/10 - PAR CES MOTIFS, LA CHAMBRE DES ASSURANCES SOCIALES Statuant selon l’art. 21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