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ATAS/534/2021 vom 3. Juni 2021</w:t>
      </w:r>
    </w:p>
    <w:p>
      <w:r>
        <w:t>GE Cour de justice, 2021-06-03, FR</w:t>
      </w:r>
    </w:p>
    <w:p>
      <w:r>
        <w:rPr>
          <w:b/>
        </w:rPr>
        <w:t xml:space="preserve">Quelle: </w:t>
      </w:r>
      <w:r>
        <w:t>https://mcp.opencaselaw.ch/entscheid/ge_gerichte_ATAS_534_2021</w:t>
      </w:r>
    </w:p>
    <w:p>
      <w:r>
        <w:t>FR: GE_GERICHTE ATAS/534/2021 du 3 juin 2021</w:t>
      </w:r>
    </w:p>
    <w:p>
      <w:r>
        <w:t>IT: GE_GERICHTE ATAS/534/2021 del 3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la suspension, durant 25 jours, du droit à l’indemnité journalière, au motif que la recourante serait sans travail par sa faute.</w:t>
      </w:r>
    </w:p>
    <w:p>
      <w:r>
        <w:rPr>
          <w:b/>
        </w:rPr>
        <w:t>E. 3</w:t>
      </w:r>
    </w:p>
    <w:p>
      <w:r>
        <w:t>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w:t>
      </w:r>
    </w:p>
    <w:p>
      <w:r>
        <w:t>A/1572/2020 - 7/12 - al. 1 let. a de l’ordonnance sur l’assurance-chômage obligatoire et l’indemnité en cas d’insolvabilité du 31 août 1983 [OACI - RS 837.02]).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Il est par ailleurs indifférent que le contrat de travail ait été résilié de façon immédiate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 arrêt 8C_872/2011, précité, consid. 4; arrêt C 282/00 du 11 janvier 2001 consid. 2b).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Le chômage est imputable à une faute de l'assuré notamment en cas de violation par celui-ci d'obligations découlant du contrat de travail (arrêt C 223/05 du 16 novembre 2005, publié in SVR 2006 ALV No 15 consid. 1 p.51). Il faut cependant que l'assuré ait délibérément contribué à son renvoi et que son comportement (et non une autre circonstance) ait été la cause de son chômage ; il</w:t>
      </w:r>
    </w:p>
    <w:p>
      <w:r>
        <w:t>A/1572/2020 - 8/12 - doit s'être rendu compte que son comportement pouvait déboucher sur un renvoi, qu'il ait ainsi commis un dol éventuel (arrêt 8C_872/2011; Boris RUBIN, Assurance-chômage et service public de l'emploi, 2019, n° 490 ss ; Bulletin LACI IC ch. D 16 ss). Dans un arrêt du 11 juin 2015 (arrêt 8C 370/14), le Tribunal fédéral a traité le cas d'un chauffeur grutier qui avait provoqué un accident avec son camion. Il a considéré que le recourant pouvait déduire de l'avertissement qu'il avait reçu quelques jours auparavant que son employeur n'allait plus tolérer, dans un intervalle de temps proche, un nouveau manquement à ses devoirs de prudence dans la conduite du camion-grue, et qu'en cas de nouvel incident, son contrat de travail serait en jeu. Or, le recourant n'avait pas respecté une consigne de sécurité élémentaire, qui aurait suffi à prévenir l'accident. Le Tribunal fédéral a donc retenu que les conditions d'une sanction pour chômage fautif étaient réalisées. Il a qualifié de moyenne la faute commise pour tenir compte du fait que le recourant n'avait pas été licencié immédiatement et que le juge pénal n'avait pas retenu à son encontre une violation grave des règles de la circulation routière. Il a exclu la faute légère, le recourant ayant néanmoins enfreint une consigne de sécurité élémentaire.</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w:t>
      </w:r>
    </w:p>
    <w:p>
      <w:r>
        <w:t>A/1572/2020 - 9/12 -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5</w:t>
      </w:r>
    </w:p>
    <w:p>
      <w:r>
        <w:t>En l'espèce, UNIA a prononcé une suspension de 25 jours à l'encontre de la recourante, retenant que celle-ci avait, par son comportement, donné à son ancien employeur un motif de licenciement, en ne respectant pas les règles relatives aux horaires et au timbrage. La recourante conteste avoir agi de manière fautive à l’égard de son employeur, alléguant qu’elle pensait être en droit de compenser ses heures et n’avoir pas agi intentionnellement dans le but de violer les directives internes sur le pointage. Le règlement du personnel de B______ (ci-après : le règlement) stipule à l’article 7 (durée du travail et horaires) que la durée hebdomadaire de travail est fixée à 40 heures (ch. 1) et que la durée de la pause de midi doit être d’au moins une demi- heure chaque jour (ch. 2). L’horaire variable prévoit des heures flexibles de</w:t>
      </w:r>
    </w:p>
    <w:p>
      <w:r>
        <w:rPr>
          <w:b/>
        </w:rPr>
        <w:t>E. 6</w:t>
      </w:r>
    </w:p>
    <w:p>
      <w:r>
        <w:t>Le principe de la faute de la recourante et du bien-fondé de la suspension étant acquis, il reste à examiner la question de la proportionnalité de la sanction, à savoir la quotité du nombre de jours de suspension. Dans son bulletin LACI IC, le SECO a établi un barème des sanctions en cas de violation des obligations liées au chômage (ci-après : barème SECO). L’échelle de suspension des indemnités de chômage, publié sous chiffre D75, prévoit notamment sous chiffre 1 « Chômage imputable à une faute de l’assuré (art. 30, al. 1, let. a LACI ; 44 et 45, al. 3, 4 et 5 OACI ; art. 20 de la convention Nr 168 de l’OIT) » que le licenciement du travailleur dans le respect des délais de congé, en raison de son comportement, en particulier de la violation de ses obligations contractuelles de travail, peut être qualifié de faute légère à grave. Il précise que les avertissements de l’employeur peuvent entraîner un durcissement de la sanction ; leur nombre, leur intervalle, leur motif et le fait que le dernier avertissement précède ou non de peu la résiliation, sont des facteurs à prendre en compte (D75 chiffre 1B). La quotité de la sanction, peut être déterminée de manière très large par l’autorité, de 1 à 15 jours en cas de faute légère, de 16 à 30 jours en cas de faute moyenne et de 31 à 60 jours en cas de faute grave. D’emblée, on peut considérer que la faute commise par la recourante n’est pas légère, s’agissant de contourner le système de pointage et de donner faussement l’impression que la recourante est à sa place de travail alors qu’elle a quitté son lieu de travail pour des raisons qui ne sont pas liées à ses obligations professionnelles. De même, la faute ne peut pas être qualifiée de grave, dès lors qu’elle n’a pas entraîné un licenciement immédiat de la recourante pour justes motifs. C’est donc à juste titre que l’intimée a choisi la fourchette de sanction allant de 16 à 30 jours pour une faute de gravité moyenne. Prenant en compte le fait que le licenciement n’avait pas été précédé d’un avertissement, l’intimée a fixé la durée de la suspension à 25 jours. Cette sanction est située un peu au-dessus de la médiane entre 16 et 30 jours (soit 23 jours) et a été fixée en tenant compte de l’ensemble des circonstances pertinentes après avoir entendu la recourante ; elle ne prête pas le flanc à la critique.</w:t>
      </w:r>
    </w:p>
    <w:p>
      <w:r>
        <w:rPr>
          <w:b/>
        </w:rPr>
        <w:t>E. 7</w:t>
      </w:r>
    </w:p>
    <w:p>
      <w:r>
        <w:t>La quotité de la sanction prononcée par UNIA étant proportionnée à la faute commise par la recourante, la décision sera confirmée et le recours rejeté.</w:t>
      </w:r>
    </w:p>
    <w:p>
      <w:r>
        <w:t>A/1572/2020 - 12/12 -</w:t>
      </w:r>
    </w:p>
    <w:p>
      <w:r>
        <w:rPr>
          <w:b/>
        </w:rPr>
        <w:t>E. 8</w:t>
      </w:r>
    </w:p>
    <w:p>
      <w:r>
        <w:t>Pour le surplus, la procédure est gratuite (art. 61 let. a LPGA, applicable ratione temporis vu l’art. 83 LPGA).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