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ATAS/534/2016 vom 30. Juni 2016</w:t>
      </w:r>
    </w:p>
    <w:p>
      <w:r>
        <w:t>GE Cour de justice, 2016-06-30, FR</w:t>
      </w:r>
    </w:p>
    <w:p>
      <w:r>
        <w:rPr>
          <w:b/>
        </w:rPr>
        <w:t xml:space="preserve">Quelle: </w:t>
      </w:r>
      <w:r>
        <w:t>https://mcp.opencaselaw.ch/entscheid/ge_gerichte_ATAS_534_2016</w:t>
      </w:r>
    </w:p>
    <w:p>
      <w:r>
        <w:t>FR: GE_GERICHTE ATAS/534/2016 du 30 juin 2016</w:t>
      </w:r>
    </w:p>
    <w:p>
      <w:r>
        <w:t>IT: GE_GERICHTE ATAS/534/2016 del 30 giugno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six jours du droit à l'indemnité infligée au recourant, pour recherches d'emploi insuffisantes au cours du mois de janvier 2016.</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w:t>
      </w:r>
    </w:p>
    <w:p>
      <w:r>
        <w:t>A/1293/2016 - 4/5 - moyenne, trente et un à soixante jours en cas de faute grave (cf. art. 45 de l'ordonnance sur l'assurance-chômage – OACI).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5. En l'espèce, il est établi que le recourant a remis ses recherches d'emploi du mois de janvier 2016 en temps utile et que leur qualité n'est pas remise en cause. En revanche, il lui est reproché de n’avoir fait que quatre recherches au lieu des douze prévues par le contrat d'objectifs signé par l’intéressé. Les dix autres recherches ont été faites au début du mois de février 2016. En premier lieu, le recourant invoque le fait qu’il a travaillé en gain intermédiaire durant cinq jours en janvier. Cela étant, il n’ignorait pas que cela ne le dispensait pas de recherches. Rien n’indique non plus que son conseiller l’aurait autorisé à diminuer le nombre de celles-ci. Le recourant ne le prétend d’ailleurs pas. En second lieu, le recourant affirme qu’il ignorait que les recherches exigées devaient être effectuées durant le mois civil. Il ressort cependant de l’examen de ses formulaires précédents que c’est la première fois qu’il procède de la sorte. Au surplus, le contrat d’objectifs parle de « nombre minimum de recherches à effectuer par mois », étant précisé que lesdites recherches doivent être remises au plus tard le 5 du mois suivant. Il ressort ainsi clairement de la formulation figurant tant dans le contrat d’objectifs que sur le formulaire de recherches que celles-ci concernent le mois civil. Eu égard aux considérations qui précèdent, le recours est rejeté et la décision du 18 mars 2016 est confirmée.</w:t>
      </w:r>
    </w:p>
    <w:p>
      <w:r>
        <w:t>A/1293/2016 - 5/5 -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