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ATAS/533/2023 vom 30. Juni 2023</w:t>
      </w:r>
    </w:p>
    <w:p>
      <w:r>
        <w:t>GE Cour de justice, 2023-06-30, FR</w:t>
      </w:r>
    </w:p>
    <w:p>
      <w:r>
        <w:rPr>
          <w:b/>
        </w:rPr>
        <w:t xml:space="preserve">Quelle: </w:t>
      </w:r>
      <w:r>
        <w:t>https://mcp.opencaselaw.ch/entscheid/ge_gerichte_ATAS_533_2023</w:t>
      </w:r>
    </w:p>
    <w:p>
      <w:r>
        <w:t>FR: GE_GERICHTE ATAS/533/2023 du 30 juin 2023</w:t>
      </w:r>
    </w:p>
    <w:p>
      <w:r>
        <w:t>IT: GE_GERICHTE ATAS/533/2023 del 30 giugno 2023</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de l’intimé du 23 mars 2023.</w:t>
      </w:r>
    </w:p>
    <w:p>
      <w:r>
        <w:rPr>
          <w:b/>
        </w:rPr>
        <w:t>E. 4</w:t>
      </w:r>
    </w:p>
    <w:p>
      <w:r>
        <w:t>Renvoie la cause à l’intimé pour instruction complémentaire et nouvelle décision.</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