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ATAS/533/2019 vom 18. Juni 2019</w:t>
      </w:r>
    </w:p>
    <w:p>
      <w:r>
        <w:t>GE Cour de justice, 2019-06-18, FR</w:t>
      </w:r>
    </w:p>
    <w:p>
      <w:r>
        <w:rPr>
          <w:b/>
        </w:rPr>
        <w:t xml:space="preserve">Quelle: </w:t>
      </w:r>
      <w:r>
        <w:t>https://mcp.opencaselaw.ch/entscheid/ge_gerichte_ATAS_533_2019</w:t>
      </w:r>
    </w:p>
    <w:p>
      <w:r>
        <w:t>FR: GE_GERICHTE ATAS/533/2019 du 18 juin 2019</w:t>
      </w:r>
    </w:p>
    <w:p>
      <w:r>
        <w:t>IT: GE_GERICHTE ATAS/533/2019 del 18 giugno 2019</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En l’espèce, le demandeur était inscrit auprès de l’assurance-chômage à Genève, si bien que la compétence de la chambre de céans est donnée tant à raison du lieu que de la matière.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3</w:t>
      </w:r>
    </w:p>
    <w:p>
      <w:r>
        <w:t>Le litige porte sur le droit du demandeur au versement d’une rente d’invalidité de la prévoyance professionnelle par la défenderesse. On relèvera que les conclusions du demandeur tendant à la condamnation de la CIEPP au versement de prestations seront interprétées comme une erreur de plume, dès lors qu’il allègue dans sa demande que cette caisse ne répond pas de son invalidité.</w:t>
      </w:r>
    </w:p>
    <w:p>
      <w:r>
        <w:t>A/2395/2018 - 7/12 -</w:t>
      </w:r>
    </w:p>
    <w:p>
      <w:r>
        <w:rPr>
          <w:b/>
        </w:rPr>
        <w:t>E. 4</w:t>
      </w:r>
    </w:p>
    <w:p>
      <w:r>
        <w:t>L’art. 2 al. 3 LPP précise que les bénéficiaires d'indemnités journalières de l'assurance-chômage sont soumis à l'assurance obligatoire en ce qui concerne les risques de décès et d'invalidité. L’art. 10 LPP dispose que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en cas de dissolution des rapports de travail (let. b) ; lorsque le salaire minimum n'est plus atteint (let. c);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 Le délai d’un mois visé à l’art. 10 al. 3 LPP correspond à 30 jours (Jürg BRECHBÜHL in Jacques-André SCHNEIDER / Thomas GEISER / Thomas GÄCHTER [édit.], Commentaire LPP et LFLP, n. 29 ad art. 10 et les références).</w:t>
      </w:r>
    </w:p>
    <w:p>
      <w:r>
        <w:rPr>
          <w:b/>
        </w:rPr>
        <w:t>E. 5</w:t>
      </w:r>
    </w:p>
    <w:p>
      <w:r>
        <w:t>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70 % au moins au sens de l'AI.</w:t>
      </w:r>
    </w:p>
    <w:p>
      <w:r>
        <w:rPr>
          <w:b/>
        </w:rPr>
        <w:t>E. 6</w:t>
      </w:r>
    </w:p>
    <w:p>
      <w:r>
        <w:t>En vertu de l'art. 26 al. 1 LPP, les dispositions de la loi fédérale sur l’assurance- 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w:t>
      </w:r>
    </w:p>
    <w:p>
      <w:r>
        <w:t>A/2395/2018 - 8/12 -</w:t>
      </w:r>
    </w:p>
    <w:p>
      <w:r>
        <w:rPr>
          <w:b/>
        </w:rPr>
        <w:t>E. 7</w:t>
      </w:r>
    </w:p>
    <w:p>
      <w:r>
        <w:t>L’assureur qui rend une décision touchant l’obligation d’un autre assureur d’allouer des prestations est tenu de lui en communiquer un exemplaire. Cet autre assureur dispose des mêmes voies de droit que l’assuré (art. 49 al. 4 de la loi fédérale sur la partie générale du droit des assurances sociales [LPGA - RS 830.1]). Lorsqu'elle n'est pas intégrée à la procédure, la fondation de prévoyance n’est pas liée par l'évaluation de l'invalidité (principe, taux et début du droit) à laquelle ont procédé les organes de l'assurance-invalidité (arrêt du Tribunal fédéral des assurances B 110/05 du 31 janvier 2007 consid. 6.2). Par ailleurs, lorsque l'annonce pour obtenir des prestations de l'assurance-invalidité est tardive, il n'y a aucune raison, du point de vue de cette assurance,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w:t>
      </w:r>
    </w:p>
    <w:p>
      <w:r>
        <w:rPr>
          <w:b/>
        </w:rPr>
        <w:t>E. 8</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w:t>
      </w:r>
    </w:p>
    <w:p>
      <w:r>
        <w:t>A/2395/2018 - 9/12 -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En ce qui concerne la durée de la capacité de travail interrompant le rapport de connexité temporelle, on peut s'inspirer de la règle de l'art. 88a al. 1 du règlement sur l’assurance-invalidité (RAI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9C_503/2013 du 25 février 2014 consid. 3.2).</w:t>
      </w:r>
    </w:p>
    <w:p>
      <w:r>
        <w:rPr>
          <w:b/>
        </w:rPr>
        <w:t>E. 9</w:t>
      </w:r>
    </w:p>
    <w:p>
      <w:r>
        <w:t>Le moment de la survenance de l’incapacité de travail est d’une importance primordiale pour déterminer quelle institution de prévoyance est compétente. En prévoyance professionnelle, on ne peut renoncer à une preuve suffisamment claire en ce qui concerne sa survenance (Marc HÜRZELER in Commentaire LPP et LFLP, n. 9 ad art. 23 LPP). Compte tenu de la définition de l’incapacité de travail, il est avant tout déterminant de savoir si une atteinte à la santé a eu des répercussions sur les rapports de travail. Du point de vue du droit du travail, cela implique une baisse des performances ayant fait l’objet d’un constat de l’employeur, voire d’un avertissement, ou en raison d’absences pour raisons de santé dans une fréquence qui excède la mesure usuelle. En d’autres termes, l’employeur doit avoir observé une diminution de rendement. Une incapacité de travail médico-théorique établie de manière rétroactive après plusieurs années ne suffit pas (RSAS 2003 p. 434; arrêts du Tribunal fédéral des assurances B 69/06 du 22 novembre 2006 consid. 2.2 et B 86/01 du 28 juillet 2003 consid. 5.3).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w:t>
      </w:r>
    </w:p>
    <w:p>
      <w:r>
        <w:t>A/2395/2018 - 10/12 -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11</w:t>
      </w:r>
    </w:p>
    <w:p>
      <w:r>
        <w:t>En l’espèce, la défenderesse n’est pas formellement liée par l’arrêt de la chambre de céans du 9 juin 2015, dès lors qu’elle n’est pas intervenue dans cette procédure. En outre, compte tenu du fait que le droit à la rente naît au plus tôt six mois après le dépôt de la demande de prestations conformément à l’art. 29 al. 1 LAI, soit en l’espèce en octobre 2011, les conclusions du Dr C______ portant sur la période antérieure à 2011 n’étaient pas déterminantes dans le litige opposant le demandeur à l’OAI, de sorte que la chambre de céans n’avait pas à examiner leur caractère probant. Ces conclusions ont en revanche une incidence essentielle en matière de prévoyance professionnelle. Il convient ainsi de revenir sur l’expertise du Dr C______. Si elle emporte la conviction s’agissant de la capacité de travail et de gain du demandeur dès le 24 mars 2011 – étant du reste souligné que ni le demandeur ni la défenderesse ne contestent le début de l’incapacité de travail totale à cette date – son appréciation de la capacité de travail dès 2003 est sujette à caution. En premier lieu, le Dr C______ n’indique pas sur quels éléments il se fonde pour retenir une capacité de travail de 50 % dès l’arrivée du demandeur en Suisse. En particulier, il ne cite aucun rapport médical étayant cette conclusion. Or, le seul indice permettant de retenir que l’état psychique du demandeur aurait alors</w:t>
      </w:r>
    </w:p>
    <w:p>
      <w:r>
        <w:t>A/2395/2018 - 11/12 - déjà été altéré dans une mesure influant sur sa capacité de travail ressort du rapport de la Dresse G______, qui explique les interruptions de certains emplois notamment par son tempérament explosif. Une telle mention est cependant clairement insuffisante pour admettre une diminution de la capacité de travail dès 2003 au degré de la vraisemblance prépondérante. En outre, le demandeur a travaillé pendant plusieurs années à plein temps, et il a perçu des indemnités de chômage, ce qui suppose qu’il ait été apte au placement, conformément aux art. 8 et</w:t>
      </w:r>
    </w:p>
    <w:p>
      <w:r>
        <w:rPr>
          <w:b/>
        </w:rPr>
        <w:t>E. 15</w:t>
      </w:r>
    </w:p>
    <w:p>
      <w:r>
        <w:t>de la loi fédérale sur l'assurance-chômage obligatoire et l'indemnité en cas d'insolvabilité (LACI - RS 837.0). Or, l’aptitude au placement implique la capacité de travail de l’assuré (arrêt du Tribunal fédéral 8C_282/2018 du 14 novembre 2018 consid. 4.1). Partant, on doit s’écarter des conclusions du Dr C______ en tant qu’elles admettent une incapacité de travail partielle pour motifs psychiques dès 2003, compte tenu de l’activité déployée par le demandeur après cette date et du caractère rétroactif de son appréciation, non corroborée par des rapports médicaux établis à l’époque. Au vu du dossier et de l’ensemble des rapports médicaux, on peut retenir que c’est dès le 24 mars 2011 que les troubles psychiques ayant conduit à l’invalidité ont entraîné une incapacité de travail durable. Or, le délai-cadre d’indemnisation ouvert par l’assurance-chômage en faveur du demandeur s’est achevé le 2 février 2011. Compte tenu de la prolongation de la couverture en vertu de l’art. 10 al. 3 LPP, les rapports de prévoyance ont pris fin 30 jours plus tard, soit le 4 mars 2011. Le demandeur n’était ainsi plus assuré auprès de la défenderesse lorsqu’est survenue l’incapacité de travail en lien de connexité matérielle et temporelle avec l’invalidité reconnue depuis. Partant, c’est à juste titre que la défenderesse a refusé de prester. 12. Eu égard à ce qui précède, la demande est rejetée. La défenderesse a conclu à l’octroi de dépens. Selon l’art. 89H LPA, sous réserve de son 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Une indemnité est allouée au recourant qui obtient gain de cause (al. 3). Le Tribunal fédéral a confirmé que cette disposition s'applique à l'ensemble des litiges de la compétence de la chambre de céans et qu’elle a pour but d'exclure l'allocation de dépens à l'assureur pour la réserver à l'assuré (arrêt du Tribunal fédéral 4A_382/2008 du 12 novembre 2008 consid. 4.2.1 et 4.2.4). Partant, la défenderesse n’a pas droit à des dépens.</w:t>
      </w:r>
    </w:p>
    <w:p>
      <w:r>
        <w:t>A/2395/2018 - 12/12 -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