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ATAS/532/2019 vom 18. Juni 2019</w:t>
      </w:r>
    </w:p>
    <w:p>
      <w:r>
        <w:t>GE Cour de justice, 2019-06-18, FR</w:t>
      </w:r>
    </w:p>
    <w:p>
      <w:r>
        <w:rPr>
          <w:b/>
        </w:rPr>
        <w:t xml:space="preserve">Quelle: </w:t>
      </w:r>
      <w:r>
        <w:t>https://mcp.opencaselaw.ch/entscheid/ge_gerichte_ATAS_532_2019</w:t>
      </w:r>
    </w:p>
    <w:p>
      <w:r>
        <w:t>FR: GE_GERICHTE ATAS/532/2019 du 18 juin 2019</w:t>
      </w:r>
    </w:p>
    <w:p>
      <w:r>
        <w:t>IT: GE_GERICHTE ATAS/532/2019 del 18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al. 1 LPGA et art. 62 al. 1 let. a de la loi sur la procédure administrative du 12 septembre 1985 [LPA-GE - E 5 10]). Interjeté dans la forme et le délai prévus par la loi, le recours est ainsi recevable (art. 56 ss LPGA et 62 ss LPA-GE).</w:t>
      </w:r>
    </w:p>
    <w:p>
      <w:r>
        <w:rPr>
          <w:b/>
        </w:rPr>
        <w:t>E. 3</w:t>
      </w:r>
    </w:p>
    <w:p>
      <w:r>
        <w:t>Le litige porte sur le droit de l’assuré à la rente entière d’invalidité au-delà du 16 octobre 2016.</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A/2053/2018 - 7/15 -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w:t>
      </w:r>
    </w:p>
    <w:p>
      <w:r>
        <w:t>A/2053/2018 - 8/15 -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t>A/2053/2018 - 9/15 -</w:t>
      </w:r>
    </w:p>
    <w:p>
      <w:r>
        <w:rPr>
          <w:b/>
        </w:rPr>
        <w:t>E. 7</w:t>
      </w:r>
    </w:p>
    <w:p>
      <w:r>
        <w:t>Aux termes de l’art. 23 LPGA, « 1 L'ayant droit peut renoncer à des prestations qui lui sont dues. La renonciation peut être en tout temps révoquée pour l'avenir. La renonciation et la révocation font l'objet d'une déclaration écrite. 2 La renonciation et la révocation sont nulles lorsqu'elles sont préjudiciables aux intérêts d'autres personnes, d'institutions d'assurance ou d'assistance ou lorsqu'elles tendent à éluder des dispositions légales. 3 L'assureur confirme par écrit à l'ayant droit la renonciation et la révocation. L'objet, l'étendue et les suites de la renonciation et de la révocation doivent être mentionnés dans la confirmation ». Même sous l'empire des dispositions de la 10e révision de l'AVS entrées en vigueur au 1er janvier 1997, il convient de s'en tenir à la jurisprudence selon laquelle il ne peut être renoncé à des prestations de l'assurance-vieillesse et survivants ou de l'assurance-invalidité qu'exceptionnellement, à condition que le bénéficiaire des prestations y ait un intérêt digne de protection et que la renonciation ne lèse pas les intérêts d'autres personnes impliquées (y compris l'AVS et l'AI). Selon la Circulaire sur la procédure dans l’assurance-invalidité (CPAI), valable depuis le 1er janvier 2010, état au 1er janvier 2018, nos 1024 à 1028, l’assuré ou son représentant légal peut retirer sa demande ou renoncer à des prestations, à moins que l’intérêt légitime de l’assuré lui-même ou d’autres personnes concernées ne s’y oppose (art. 23 al. 1 et 2 LPGA). La déclaration de retrait ou la renonciation aux prestations doit revêtir la forme écrite, ne contenir aucune réserve et être munie d’une signature. Il n’est en principe pas possible de renoncer à l’exécution de mesures de réadaptation d’ordre professionnel (cf. arrêt du Tribunal fédéral 9C_576/2010 du 26 avril 2011 consid. 4.3.3). Selon la jurisprudence rendue avant l'entrée en vigueur de l'art. 23 LPGA, qui traite de la renonciation à des prestations d'assurance sociale (sur cette question, cf. Ghislaine Frésard-Fellay, De la renonciation aux prestations d'assurance sociale, in : REAS 2002 p. 335 ss), l'assuré ne pouvait pas abandonner un droit découlant d'un rapport de droit public mais avait la faculté de s'abstenir d'exercer une prétention (ATFA 1945 p. 131). Cette jurisprudence, valable notamment en matière d'assurance-invalidité (ATF 101 V 265 consid. 2; ATFA 1961 p. 65), exigeait toutefois que l'assuré justifiât d'un intérêt digne de protection (ATF 101 V 265 consid. 2; ATFA 1969 p. 211 et les références; RCC 1971 p. 303). Au surplus, le Tribunal fédéral des assurances a considéré qu'une renonciation à des prestations d'assurance n'était admissible qu'exceptionnellement (cf. arrêt H 167/01, publié aux ATF 129 V 1 et confirmé dans un arrêt H 212/03 du 8 octobre 2003).</w:t>
      </w:r>
    </w:p>
    <w:p>
      <w:r>
        <w:rPr>
          <w:b/>
        </w:rPr>
        <w:t>E. 8</w:t>
      </w:r>
    </w:p>
    <w:p>
      <w:r>
        <w:t>Le 6 mars 2017, l’OAI a transmis à l’assuré un projet de décision, aux termes duquel le droit à une rente entière d’invalidité lui était reconnu à partir du 1er octobre 2015.</w:t>
      </w:r>
    </w:p>
    <w:p>
      <w:r>
        <w:t>A/2053/2018 - 10/15 -</w:t>
      </w:r>
    </w:p>
    <w:p>
      <w:r>
        <w:rPr>
          <w:b/>
        </w:rPr>
        <w:t>E. 9</w:t>
      </w:r>
    </w:p>
    <w:p>
      <w:r>
        <w:t>a. L’assuré a informé l’OAI qu’il souhaitait renoncer aux prestations AI qui lui étaient allouées, mais dès le 17 octobre 2016 seulement. L’assuré émet ainsi une réserve. Or, la déclaration de retrait ne doit en contenir aucune. Elle est en conséquence nulle. Une autorité doit constater la nullité d’office ; ce qu’elle fera non seulement si la décision entachée de nullité fait l’objet de la procédure, mais également si elle est produite comme moyen de preuve dans une autre procédure. La renonciation étant nulle, les prestations n’ont pas à être supprimées, étant rappelé que la déclaration de renonciation est un acte formateur et que la décision de l’administration a uniquement un caractère constatatoire (Ueli KIESER, ATSG Kommentar, 3ème éd., 2015, ad art. 23 ch. 51 et 57). b. La personne assurée qui bénéficie d’une rente d’invalidité n'a pas d'intérêt digne de protection à la renonciation de cette prestation, aussi longtemps qu’elle n'a pas recouvré sa capacité de travail et sa capacité de gain. Une renonciation prononcée en de pareilles circonstances ne saurait la lier et doit par conséquent être frappée de nullité (ATAS/300/2018). L’assuré a déclaré vouloir maintenir la procédure de rente AI pour la période allant jusqu’au 17 octobre 2016, date dès laquelle il serait à nouveau capable de travailler, expliquant qu’il voulait être mis au bénéfice de prestations de retraite anticipée. Aux termes de l’art. 16 des dispositions du règlement RESOR, « 1. Le droit aux prestations de retraite anticipée prend naissance au plus tôt trois ans avant l'âge ordinaire qui donne droit aux prestations de retraite de I'AVS, sur requête de l'assuré, pour autant qu'il cesse son activité lucrative totalement et qu'il renonce expressément aux prestations de l'assurance chômage pour la part de la capacité de gain prise en compte lors de la fixation du droit à la rente. 2. Le droit à la rente de retraite anticipée s'éteint à l'âge ordinaire AVS mais dans tous les cas au décès de l'assuré. La rente de retraite anticipée n'est pas due aux survivants du bénéficiaire décédé, 3. L'assuré totalement ou partiellement invalide est soumis aux articles 19, alinéas 4 et 20 ». L’art. 19 précise que « 1. Est considéré comme bénéficiaire selon le présent règlement l'assuré qui a travaillé 20 ans et a passé les dix dernières années précédant immédiatement le versement des prestations de retraite anticipée au sein d'une entreprise soumise à la CCRA ou affiliée à la Caisse. 2. L'assuré qui ne peut justifier avoir travaillé dans une entreprise soumise à la CCRA ou affiliée à la Caisse durant au moins 8 mois par année durant les dix dernières années précédant immédiatement la préretraite, n'a pas droit aux prestations de la Caisse.</w:t>
      </w:r>
    </w:p>
    <w:p>
      <w:r>
        <w:t>A/2053/2018 - 11/15 - L'assuré qui a travaillé plus de vingt ans dans une entreprise soumise à la CCRA ou affiliée à la Caisse et qui s'est retrouvé sans emploi de façon ininterrompue durant une période maximale de deux ans au cours des dix dernières années précédant la préretraite peut prétendre aux prestations de la Caisse. 3. Pour l'assuré qui n'a pas travaillé vingt ans au sein d'une entreprise soumise à la CCRA ou affiliée à la Caisse, la rente de préretraite est réduite de 1/240 par mois manquant au sens de l'article 19, alinéa 1. 4. L'assuré malade ou accidenté qui bénéficie de prestations de la part de l'assurance maladie perte de gain, de l'Al, de l'assurance accident ou de la caisse de pensions ne peut prétendre à des prestations de préretraite que pour sa capacité de gain résiduelle. La somme de toutes les prestations précédentes, y compris celles de la Caisse ne peut cependant pas dépasser la rente maximale à laquelle l'assuré aurait droit si celui-ci disposait de sa pleine capacité de gain. La Caisse est habilitée à réduire ses prestations en conséquence. 5. Les périodes de maladie, d'accident ou de cotisations individuelles au sens de l'article 12 comptent comme périodes de cotisations. 6. L'assuré au chômage immédiatement avant l'échéance de son droit à la préretraite peut bénéficier des prestations de la Caisse si les conditions suivantes sont remplies : - La durée entre la perte d'emploi et la date de départ en préretraite n'excède pas</w:t>
      </w:r>
    </w:p>
    <w:p>
      <w:r>
        <w:rPr>
          <w:b/>
        </w:rPr>
        <w:t>E. 12</w:t>
      </w:r>
    </w:p>
    <w:p>
      <w:r>
        <w:t>mois. - L'assuré peut justifier de 20 ans d'activité dans une entreprise soumise à la CCRA ou affiliée à la Caisse. Dans ce cas, le salaire déterminant au sens de l'article 5 est celui perçu par l'assuré au cours des trente-six mois précédant immédiatement le chômage. 7. Le bénéficiaire est tenu de renseigner la Caisse sur tous les revenus à prendre en compte, 8. Les assurés dont l'activité est saisonnière restent affiliés à la Caisse, même s'ils subissent des interruptions momentanées de leur contrat de travail. Le montant de la rente minimale est réduit en proportion de la durée d'activité déterminante. 9. Pour compléter leurs prestations, les assurés dont l'activité est saisonnière peuvent cotiser à titre individuel au sens de l'art. 12, même s'ils ont moins de 50 ans ». Il résulte de ces dispositions que l’assuré ne peut prétendre aux prestations de pré- retraite, s’il reçoit une rente d’invalidité, que pour sa capacité de gain résiduelle. C’est la raison pour laquelle il souhaite ne pas bénéficier d’une rente d’invalidité au-delà du 16 octobre 2016. Ce faisant, il tente d’éluder les dispositions du règlement RESOR. Une renonciation dans ces conditions ne saurait, pour ce motif également, être prise en considération (ATAS/766/2011). 10. a. L’assuré affirme dans son recours qu’il n'a jamais été question pour lui de renoncer aux prestations à compter du 17 octobre 2016. C’est pourtant ce qu’il avait</w:t>
      </w:r>
    </w:p>
    <w:p>
      <w:r>
        <w:t>A/2053/2018 - 12/15 - expressément demandé, en personne, le 8 août 2017, et par l’intermédiaire de AXA ARAG à plusieurs reprises. Il conteste plutôt à présent le taux d'invalidité de 100% retenu par l'office AI dès le 17 octobre 2016, et relève à cet égard que le Dr B______ a confirmé les 23 janvier et 16 août 2018, qu’il avait recouvré une pleine et entière capacité de travail en qualité de maçon à compter de cette date. L’assuré fait ainsi valoir que s’il est bel et bien incapable de travailler du 27 octobre 2014 au 16 août 2016, et peut, partant, prétendre à une rente entière d’invalidité pour cette période, il n’en est pas de même ensuite, puisqu’il a recouvré une pleine et entière capacité de travail. Il en veut pour preuve les rapports du Dr B______. La chambre de céans constate que ces rapports sont succincts. Le médecin n’explique pas pour quelle raison il conclut à une capacité de travail de 100%, et indique que c’est à la demande de l’assuré qu’il établit ce rapport. Il atteste d’une capacité de travail de 100% comme maçon, tout en précisant que l’assuré éprouve des difficultés à se mettre à genoux, ce qui est pour le moins contradictoire. En effet, une telle limitation est à l’évidence incompatible avec l’exercice de la profession de maçon-carreleur. On ne saurait dès lors retenir une capacité de travail de 100% dans l’activité habituelle à compter du 17 octobre 2016. b. Dans sa note du 10 février 2017, le SMR était du reste arrivé à la même conclusion, considérant en revanche que la capacité de travail de l’assuré était de 100% dans une activité adaptée, mais que celui-ci, vu son âge, ne pourrait que difficilement exploiter sa capacité résiduelle de travail sur le plan économique. Aussi avait-il conclu à une incapacité de gain totale.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Lorsqu'il s'agit d'évaluer l'invalidité d'un assuré qui se trouve proche de l'âge donnant droit à la rente de vieillesse, il faut procéder à une analyse globale de la situation et se demander si, de manière réaliste, l’assuré concerné est en mesure de retrouver un emploi sur un marché équilibré du travail. Cela revient à déterminer, dans le cas concret qui est soumis à l'administration ou au juge, si un employeur potentiel consentirait objectivement à l’engager,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w:t>
      </w:r>
    </w:p>
    <w:p>
      <w:r>
        <w:t>A/2053/2018 - 13/15 - à la prévoyance professionnelle obligatoire, ainsi que de la durée prévisible des rapports de travail (ATF 138 V 457 consid. 3.1 et les références). Selon le Tribunal fédéral, un âge proche de 60 ans peut être considéré comme un seuil à partir duquel on peut parler d'âge avancé (arrêt du Tribunal fédéral 9C_612/2007 du 14 juillet 2008 consid. 5.2). Le SMR a ainsi, pour fixer le degré d’invalidité, pris en considération l’âge de l’assuré, soit un facteur non médical, craignant que l’assuré ne trouve pas d’employeur susceptible de l’engager. Or, il s’avère que celui-ci a travaillé du</w:t>
      </w:r>
    </w:p>
    <w:p>
      <w:r>
        <w:rPr>
          <w:b/>
        </w:rPr>
        <w:t>E. 17</w:t>
      </w:r>
    </w:p>
    <w:p>
      <w:r>
        <w:t>octobre 2016, mais qui permet encore l’octroi d’une demi-rente d’invalidité, ce à compter du 1er février 2017 (art. 88a RAI). Aussi le recours est-il rejeté.</w:t>
      </w:r>
    </w:p>
    <w:p>
      <w:r>
        <w:t>A/2053/2018 - 15/15 -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