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ATAS/532/2017 vom 26. Juni 2017</w:t>
      </w:r>
    </w:p>
    <w:p>
      <w:r>
        <w:t>GE Cour de justice, 2017-06-26, FR</w:t>
      </w:r>
    </w:p>
    <w:p>
      <w:r>
        <w:rPr>
          <w:b/>
        </w:rPr>
        <w:t xml:space="preserve">Quelle: </w:t>
      </w:r>
      <w:r>
        <w:t>https://mcp.opencaselaw.ch/entscheid/ge_gerichte_ATAS_532_2017</w:t>
      </w:r>
    </w:p>
    <w:p>
      <w:r>
        <w:t>FR: GE_GERICHTE ATAS/532/2017 du 26 juin 2017</w:t>
      </w:r>
    </w:p>
    <w:p>
      <w:r>
        <w:t>IT: GE_GERICHTE ATAS/532/2017 del 26 giugno 2017</w:t>
      </w:r>
    </w:p>
    <w:p>
      <w:pPr>
        <w:pStyle w:val="Heading2"/>
      </w:pPr>
      <w:r>
        <w:t>Erwägungen</w:t>
      </w:r>
    </w:p>
    <w:p>
      <w:r>
        <w:rPr>
          <w:b/>
        </w:rPr>
        <w:t>E. 2</w:t>
      </w:r>
    </w:p>
    <w:p>
      <w:r>
        <w:t>Le présent recours, interjeté en temps utile (art. 60 al. 1 LPGA), est recevable.</w:t>
      </w:r>
    </w:p>
    <w:p>
      <w:r>
        <w:rPr>
          <w:b/>
        </w:rPr>
        <w:t>E. 3</w:t>
      </w:r>
    </w:p>
    <w:p>
      <w:r>
        <w:t>Le litige porte sur la suspension du droit à l’indemnité du recourant pour une durée de trente et un jours.</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w:t>
      </w:r>
    </w:p>
    <w:p>
      <w:r>
        <w:t>A/558/2017 - 6/9 -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2015, n° D72). Si l'assuré est suspendu de façon répétée dans son droit à l'indemnité, la durée de suspension est prolongée en conséquence. Les suspensions subies pendant les 2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(cf. art. 45, al. 1, OACI ; Bulletin op. cit., n° D63).</w:t>
      </w:r>
    </w:p>
    <w:p>
      <w:r>
        <w:rPr>
          <w:b/>
        </w:rPr>
        <w:t>E. 5</w:t>
      </w:r>
    </w:p>
    <w:p>
      <w:r>
        <w:t>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w:t>
      </w:r>
    </w:p>
    <w:p>
      <w:r>
        <w:t>A/558/2017 - 7/9 - l’assurance-chômage par son comportement fautif (ATF 133 V 89 consid. 6.2.2 ; arrêt du Tribunal fédéral 8C_316/07 du 6 avril 2008 consid. 2.1.2).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arrêt du Tribunal fédéral C 258/06 du 6 février 2007 consid. 2.2). On ne peut cependant pas s'en tenir de manière schématique à une limite purement quantitative ;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C 176/05 du 28 août 2006 consid. 2.2).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w:t>
      </w:r>
    </w:p>
    <w:p>
      <w:r>
        <w:t>A/558/2017 - 8/9 -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En l’espèce, l’intimé a considéré que le recourant n’avait pas fourni, en quantité, suffisamment de recherches personnelles d’emploi durant le mois de novembre 2016. Ce fait est admis par le recourant, lequel estime cependant que la sanction est absurde dès lors qu’elle confirme une exigence excessive de fournir dix recherches personnelles d’emploi par mois.</w:t>
      </w:r>
    </w:p>
    <w:p>
      <w:r>
        <w:t>En l’occurrence, le recourant a été dûment averti en juin 2016 que le nombre minimum de recherches personnelles d’emploi était augmenté de six à dix ; or, le recourant a estimé d’emblée que cette exigence était excessive et inappropriée à son profil professionnel et n’a pas suivi les nouvelles directives imposées. Même si les griefs du recourant sont compréhensibles, en particulier ceux relatifs à la décrédibilisation du demandeur d’emploi qui se voit dans l’obligation de postuler plusieurs fois auprès des mêmes employeurs, cela ne suffit pas à qualifier la nouvelle exigence de l’intimé, fixant à dix par mois le nombre minimum de recherches d’emploi, de disproportionnée. Par ailleurs, le recourant a subi, antérieurement, plusieurs sanctions relativement à l’obligation de fournir des recherches personnelles d’emploi, soit : - une suspension de son droit à l’indemnité de trois jours pour recherches personnelles d’emploi quantitativement insuffisantes pour juillet 2016 ; - une suspension de son droit à l’indemnité de quatre jours pour recherches personnelles d’emploi quantitativement insuffisantes en août 2016 ; - une suspension de son droit à l’indemnité de dix jours pour recherches personnelles d’emploi qualitativement insuffisantes pour septembre 2016.</w:t>
      </w:r>
    </w:p>
    <w:p>
      <w:r>
        <w:t>Les recherches personnelle d’emploi pour novembre 2016, quantitativement insuffisantes, constituent un quatrième manquement du recourant, pour un motif identique. En conséquence, la durée de la suspension de trente et un jours, au regard des manquements antérieurs, que l’autorité est tenue de prendre en compte dès lors qu’ils ont donné lieu à des suspensions dans les deux dernières années, respecte le principe de la proportionnalité, de sorte que l'intimé n'a pas excédé son pouvoir d'appréciation. La sanction doit ainsi être confirmée.</w:t>
      </w:r>
    </w:p>
    <w:p>
      <w:r>
        <w:rPr>
          <w:b/>
        </w:rPr>
        <w:t>E. 8</w:t>
      </w:r>
    </w:p>
    <w:p>
      <w:r>
        <w:t>Le recours, mal fondé, ne peut qu’être rejeté. La procédure est gratuite.</w:t>
      </w:r>
    </w:p>
    <w:p>
      <w:r>
        <w:t>A/558/2017 - 9/9 -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