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ATAS/532/2014 vom 22. April 2014</w:t>
      </w:r>
    </w:p>
    <w:p>
      <w:r>
        <w:t>GE Cour de justice, 2014-04-22, FR</w:t>
      </w:r>
    </w:p>
    <w:p>
      <w:r>
        <w:rPr>
          <w:b/>
        </w:rPr>
        <w:t xml:space="preserve">Quelle: </w:t>
      </w:r>
      <w:r>
        <w:t>https://mcp.opencaselaw.ch/entscheid/ge_gerichte_ATAS_532_2014</w:t>
      </w:r>
    </w:p>
    <w:p>
      <w:r>
        <w:t>FR: GE_GERICHTE ATAS/532/2014 du 22 avril 2014</w:t>
      </w:r>
    </w:p>
    <w:p>
      <w:r>
        <w:t>IT: GE_GERICHTE ATAS/532/2014 del 22 aprile 2014</w:t>
      </w:r>
    </w:p>
    <w:p>
      <w:pPr>
        <w:pStyle w:val="Heading2"/>
      </w:pPr>
      <w:r>
        <w:t>Erwägungen</w:t>
      </w:r>
    </w:p>
    <w:p>
      <w:r>
        <w:rPr>
          <w:b/>
        </w:rPr>
        <w:t>E. 13</w:t>
      </w:r>
    </w:p>
    <w:p>
      <w:r>
        <w:t>Il y a dès lors lieu d’examiner s’il est vraisemblable qu’en l’occurrence les conséquences des atteintes à la santé dont souffre l’assuré sur sa capacité de gain se soient modifiées. Il s’avère que selon les conclusions de l’atelier de réadaptation professionnelle de D______, le rendement de l’assuré était de l’ordre de 50%, voire 70%, sur trois heures d’activité par jour et il n’était pas en mesure de travailler sur le marché primaire, mais dans un atelier protégé où l’environnement serait plus adapté à ses besoins. Il est vrai qu’en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Toutefois,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non publié 9C_512/2013 du 16 janvier 2014, consid. 5.2.1 ; ATF 9C_1035/2009 du 22 juin 2010 consid. 4.1, in SVR 2011 IV n° 6 p. 17; ATF 9C_833/2007 du 4 juillet 2008, in Plädoyer 2009/1 p. 70; ATF I 35/03 du 24 octobre 2003 consid. 4.3 et les références, in Plädoyer 2004/3 p. 64). L’OAI ne pouvait dès lors écarter d’emblée l’évaluation des capacités professionnelles de l’assuré faite à D______. Certes le Dr B______ a-t-il indiqué qu’une rente à 50% sur le plan médical était adéquate. Cette déclaration – au demeurant de nature juridique, et non médicale - est toutefois en contradiction totale avec les observations faites en atelier et confirmées par les médecins de D______.</w:t>
      </w:r>
    </w:p>
    <w:p>
      <w:r>
        <w:t>A/3504/2013 - 11/12 - Il y a au surplus lieu de constater que l’assuré a cessé d’exercer son activité lucrative à 50%. Le Dr G______ a quant à lui confirmé en décembre 2011 qu’une demi-rente était justifiée, mais a insisté sur le fait qu’« au niveau professionnel déjà à l’époque, on concluait à une capacité de travail de trois heures par jour avec un rendement de l’ordre de 50 à 70% », et décrit la situation actuelle comme "plutôt dégradée". Force est dès lors de constater qu’il existe en l’espèce des indices suffisants en faveur d’une modification des circonstances entre 2007 et 2013. L’assuré a ainsi rendu vraisemblable une modification de l’invalidité de manière à influencer le droit à la rente. C’est dès lors à tort que l'OAI a prononcé un refus d'entrer en matière.</w:t>
      </w:r>
    </w:p>
    <w:p>
      <w:r>
        <w:rPr>
          <w:b/>
        </w:rPr>
        <w:t>E. 14</w:t>
      </w:r>
    </w:p>
    <w:p>
      <w:r>
        <w:t>Au vu de ce qui précède, le recours sera admis et la décision du 30 septembre 2013 annulée.</w:t>
      </w:r>
    </w:p>
    <w:p>
      <w:r>
        <w:rPr>
          <w:b/>
        </w:rPr>
        <w:t>E. 15</w:t>
      </w:r>
    </w:p>
    <w:p>
      <w:r>
        <w:t>Etant donné que, depuis le 1er juillet 2006, la procédure n'est plus gratuite (art. 69 al. 1bis LAI), au vu du sort du recours, il y a lieu de condamner l'OAI au paiement d'un émolument de CHF 200.-.</w:t>
      </w:r>
    </w:p>
    <w:p>
      <w:r>
        <w:t>A/3504/2013 - 12/12 -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