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ATAS/531/2025 vom 30. Juni 2025</w:t>
      </w:r>
    </w:p>
    <w:p>
      <w:r>
        <w:t>GE Cour de justice, 2025-06-30, FR</w:t>
      </w:r>
    </w:p>
    <w:p>
      <w:r>
        <w:rPr>
          <w:b/>
        </w:rPr>
        <w:t xml:space="preserve">Quelle: </w:t>
      </w:r>
      <w:r>
        <w:t>https://mcp.opencaselaw.ch/entscheid/ge_gerichte_ATAS_531_2025</w:t>
      </w:r>
    </w:p>
    <w:p>
      <w:r>
        <w:t>FR: GE_GERICHTE ATAS/531/2025 du 30 juin 2025</w:t>
      </w:r>
    </w:p>
    <w:p>
      <w:r>
        <w:t>IT: GE_GERICHTE ATAS/531/2025 del 30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en temps utile, le recours est recevable (art. 60 al. 1 LPGA et 62 al. 1 de la loi sur la procédure administrative du 12 septembre 1985 [LPA-GE - E 5 10]).</w:t>
      </w:r>
    </w:p>
    <w:p>
      <w:r>
        <w:rPr>
          <w:b/>
        </w:rPr>
        <w:t>E. 2</w:t>
      </w:r>
    </w:p>
    <w:p>
      <w:r>
        <w:t>Le litige porte sur le taux d’invalidité du recourant à compter du 1er juin 2021 et son droit au versement d’une rente au-delà du 30 septembre 2022.</w:t>
      </w:r>
    </w:p>
    <w:p>
      <w:r>
        <w:rPr>
          <w:b/>
        </w:rPr>
        <w:t>E. 3.1</w:t>
      </w:r>
    </w:p>
    <w:p>
      <w:r>
        <w:t>Le 1er janvier 2022, les modifications de la LAI du 19 juin 2020 (développement continu de l’AI ; RO 2021 705), y compris les ordonnances correspondantes, sont entrées en vigueur. Dans le cadre de cette révision, l'art. 17 LPGA a notamment été adapté.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t>A/2806/2023 - 9/20 -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Selon l'art. 17 al. 1 LPGA, dans sa teneur en vigueur à compter du 1er janvier 2022, la rente d’invalidité est, d’office ou sur demande, révisée pour l’avenir, à savoir augmentée, réduite ou supprimée, lorsque le taux d’invalidité de l’assuré : subit une modification d’au moins 5 points de pourcentage (let. a) ou atteint 100% (let. b).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(ATF 147 V 167 consid. 4.1 et les références).</w:t>
      </w:r>
    </w:p>
    <w:p>
      <w:r>
        <w:rPr>
          <w:b/>
        </w:rPr>
        <w:t>E. 4.2</w:t>
      </w:r>
    </w:p>
    <w:p>
      <w:r>
        <w:t>Est réputée invalidité, l'incapacité de gain totale ou partielle présumée permanente ou de longue durée, résultant d'une infirmité congénitale, d'une</w:t>
      </w:r>
    </w:p>
    <w:p>
      <w:r>
        <w:t>A/2806/2023 - 10/20 -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w:t>
      </w:r>
    </w:p>
    <w:p>
      <w:r>
        <w:rPr>
          <w:b/>
        </w:rPr>
        <w:t>E. 4.3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A/2806/2023 - 11/20 -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5.3.2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5.3.3</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w:t>
      </w:r>
    </w:p>
    <w:p>
      <w:r>
        <w:t>A/2806/2023 - 12/20 -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5.3.4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w:t>
      </w:r>
    </w:p>
    <w:p>
      <w:r>
        <w:t>A/2806/2023 - 13/20 -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En l’espèce, dans le cadre d’une première demande de prestations déposée en août 2004 en raison d’une atteinte au poignet gauche, le recourant, qui était alors ouvrier dans le bâtiment, a bénéficié d’un reclassement dans une activité adaptée à ses limitations fonctionnelles en tant que chauffeur professionnel qu’il pouvait exercer à 100%. Á l’issue de ce reclassement, son degré d’invalidité a été évalué à 27%. Par décision du 31 mars 2011, entrée en force, l’intimée a mis fin aux mesures professionnelles et nié le droit à une rente d’invalidité. Le 30 novembre 2020, le recourant a déposé une nouvelle demande de prestations, en invoquant des problèmes dorsaux. Par décision litigieuse du 15 août 2023, l’intimé lui a reconnu le droit à une demi- rente du 1er juin 2021 au 30 septembre 2022. Se fondant sur l’avis du SMR du 21 novembre 2022, l’intimé a admis une incapacité totale de travail dans toute activité à compter de juin 2020, mais considéré qu'une amélioration était intervenue le 1er octobre 2022, date à compter de laquelle l'intéressé avait recouvré une pleine capacité de travail dans une activité adaptée, sans baisse de rendement. S’agissant de la période antérieure au 1er octobre 2022, quand bien même le recourant présentait une incapacité de travail totale dans toute activité, admise par le SMR, et partant, par l’intimé, le recourant a tout de même exercé à temps partiel son activité habituelle de chauffeur, ce qui n’est pas contesté, ni contestable. L’intéressé conteste toutefois avoir recouvré une capacité de travail entière dans une activité adaptée, sans baisse de rendement, dès le 1er octobre 2022. Il convient dès lors d’examiner si les conclusions du SMR du 21 novembre 2022, en tant qu’elles retiennent une amélioration de l’état de santé à compter du 1er octobre 2022, ont valeur probante. Dans son avis, le SMR a considéré que le recourant présentait des lombosciatalgies droites sur canal lombaire étroit L4-L5 et L5-S1 associées à un rétrécissement foraminal bilatéral ainsi que des cervicalgies sur coup du lapin, entraînant les limitations fonctionnelles suivantes : la position statique assise et debout prolongée, le port de charges de plus de 10 kg, le port de charges répété de plus de 5 kg et la position en porte-à-faux du rachis. Depuis juin 2020, l’incapacité de travail était totale, mais entière dès le 1er octobre 2022 dans une activité adaptée. Selon les pièces, l’état du recourant s’était suffisamment amélioré pour lui permettre de reprendre son activité habituelle le 1er octobre</w:t>
      </w:r>
    </w:p>
    <w:p>
      <w:r>
        <w:t>A/2806/2023 - 14/20 - 2022, laquelle n’était pas adaptée à la pathologie en raison de la position assise prolongée et du port de charges. La Cour de céans relève que l'avis du 21 novembre 2022 du SMR ne repose pas sur des observations cliniques auxquelles un médecin de ce service aurait personnellement procédé, mais sur une appréciation fondée exclusivement sur une analyse des documents médicaux versés au dossier. Le résultat de cette appréciation - soit l'existence d'une capacité de travail entière dans une activité adaptée dès le 1er octobre 2022 - n'est corroboré par aucune pièce du dossier. Si, à compter de cette date, le recourant s’est certes astreint à reprendre son activité habituelle à plein temps, malgré l’existence d’une incapacité de travail totale en tant que chauffeur, on ne saurait en déduire, comme l’a fait le SMR, l’existence d’une amélioration de son état de santé et d’une capacité de travail totale dans une activité adaptée, sans baisse de rendement, dès le 1er octobre 2022. En procédant de la sorte, le SMR a pris de nouvelles conclusions, alors qu'il doit se limiter à apprécier celles déjà existantes (arrêt du Tribunal fédéral 9C_518/2007 du 14 juillet 2008 consid. 3.2 et les références). Certes, le Dr C______ a-t-il retenu une capacité de travail totale dans une activité adaptée dès le 15 novembre 2022 (rapport du 1er novembre 2022), alors qu’elle était précédemment nulle en raison des troubles lombaires (rapport du 25 janvier 2021). Cependant, le rapport du Dr C______ du 1er novembre 2022, succinct et peu étayé, ne fournit aucune explication permettant de comprendre les raisons d’une telle amélioration à compter du 15 novembre 2022, d’autant moins que ce médecin y fait état de discopathies et discarthroses lombaires « sévères », ainsi que de nouveaux troubles à la colonne cervicale et au genou gauche venant s’ajouter aux atteintes lombaires. Le recouvrement d’une capacité de travail totale dans une activité adaptée à compter du 15 novembre 2022 ne s’explique pas non plus par le rapport du 19 avril 2024, pourtant détaillé, du Dr C______. Par ailleurs, les autres rapports versés au dossier ne permettent pas non plus de retenir que le recourant aurait recouvré une pleine capacité de travail dans une activité adaptée sans baisse de rendement, que ce soit le 1er octobre 2022, comme l’a retenu le SMR, ou postérieurement. En outre, alors que le SMR avait estimé, dans son avis du 17 octobre 2022, nécessaire d’interroger le Dr D______ avant de rendre ses conclusions finales, force est de constater que ce médecin ne s’est jamais prononcé ni sur les limitations fonctionnelles du recourant, ni sur sa capacité de travail et son rendement, alors que ce spécialiste a fait remarquer notamment que l’IRM lombaire du 21 février 2022 montrait une péjoration de la discarthrose L5-S1 par rapport à l’IRM d’août 2021 (rapport du 3 mars 2022). Qui plus est, les conclusions finales du SMR du 21 novembre 2022, sur lesquelles s’est fondé l’intimé pour rendre sa décision litigieuse, apparaissent incomplètes dans la mesure où, comme le fait valoir le recourant à juste titre, elles ne mentionnent pas l’atteinte au poignet gauche retenue dans le cadre de la première demande de</w:t>
      </w:r>
    </w:p>
    <w:p>
      <w:r>
        <w:t>A/2806/2023 - 15/20 - prestations, ni les limitations fonctionnelles qui y sont liées. De surcroît, à teneur des avis du SMR des 30 octobre 2023 et 25 mars 2024, il est possible que le recourant ait présenté une aggravation - antérieure à la date de la décision litigieuse -, de ses troubles lombaires (une inflammation de type Modic 1 en L5- S1 et une hernie discale en L4-L5 ; cf. rapport d’IRM du 31 août 2023) et du poignet gauche (arthrose du premier rayon ; cf. rapport de radiographie du 24 mars 2023), laquelle devrait faire l’objet d’une instruction médicale. Enfin, la Cour de céans ne saurait se fonder, sans autre instruction, sur les rapports du Dr G_____ du 22 décembre 2023 et du Dr C______ du 19 février 2024, établis postérieurement à la décision litigieuse et faisant notamment état d’une amélioration des lombalgies et de la sciatalgie droite, respectivement, d’une capacité de travail de 50% dans toute activité, dès lors que ces médecins ne précisent pas à quelle date remontent leurs constatations. Il ressort de ce qui précède que les pièces versées au dossier ne permettent pas de confirmer qu'à compter du 1er octobre 2022, le recourant présentait, au degré de la vraisemblance prépondérante, une capacité de travail entière dans une activité adaptée, sans baisse de rendement. Force est ainsi de constater que l'intimé ne pouvait se fonder sur les conclusions du SMR pour rendre sa décision litigieuse d’octroi de rente d’invalidité limitée au 30 septembre 2022. Dans ces conditions, en l'absence d'une appréciation suffisamment convaincante et circonstanciée permettant de déterminer si et dans quelle mesure la capacité de travail du recourant s'est améliorée à compter du 1er octobre 2022, la Cour de céans n'est pas en mesure d'apprécier de manière adéquate sa situation médicale et de déterminer s'il a présenté un changement important au sens de l'art. 17 LPGA. Il se justifie par conséquent de renvoyer la cause à l'office intimé pour qu'il procède à une instruction complémentaire, sous la forme d'une expertise indépendante, au sens de l'art. 44 LPGA. Un renvoi à l'administration se justifie, en l'occurrence, vu l'absence d’une expertise mise en œuvre par l'intimé.</w:t>
      </w:r>
    </w:p>
    <w:p>
      <w:r>
        <w:rPr>
          <w:b/>
        </w:rPr>
        <w:t>E. 6.2</w:t>
      </w:r>
    </w:p>
    <w:p>
      <w:r>
        <w:t>Il convient à présent d’examiner le calcul du degré d’invalidité effectué par l'intimé pour la période antérieure au 1er octobre 2022.</w:t>
      </w:r>
    </w:p>
    <w:p>
      <w:r>
        <w:rPr>
          <w:b/>
        </w:rPr>
        <w:t>E. 6.2.1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6.2.2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w:t>
      </w:r>
    </w:p>
    <w:p>
      <w:r>
        <w:t>A/2806/2023 - 16/20 - l’évaluation du taux d’invalidité ainsi que les facteurs de correction applicables (art. 16 LPGA et 28a al. 1 LAI).</w:t>
      </w:r>
    </w:p>
    <w:p>
      <w:r>
        <w:rPr>
          <w:b/>
        </w:rPr>
        <w:t>E. 6.2.3</w:t>
      </w:r>
    </w:p>
    <w:p>
      <w:r>
        <w:t>Pour évaluer le taux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Lorsque l’assuré est une personne de condition indépendante, la comparaison porte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w:t>
      </w:r>
    </w:p>
    <w:p>
      <w:r>
        <w:t>A/2806/2023 - 17/20 -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(arrêt du Tribunal fédéral 8C_2/2023 du 7 septembre 2023 et les références).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 ATF 128 V 29 consid. 1 et les références). La méthode extraordinaire ne devra pas être appliquée non seulement lorsque les données comptables permettent de tirer des conclusions valables sur la diminution de la capacité de gain due à l’invalidité, mais aussi lorsque, en raison d’un changement important survenu dans l’exploitation d’un indépendant, les répercussions économiques de la baisse de rendement sur les divers champs d’activité ne peuvent plus être établies de manière réaliste (arrêt du Tribunal fédéral I 499/02 du 17 juin 2003 consid. 6 ; Michel VALTERIO, Commentaire de la loi fédérale sur l’assurance-invalidité, 2018, n. 138 ad art. 28a).</w:t>
      </w:r>
    </w:p>
    <w:p>
      <w:r>
        <w:rPr>
          <w:b/>
        </w:rPr>
        <w:t>E. 6.3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6.4</w:t>
      </w:r>
    </w:p>
    <w:p>
      <w:r>
        <w:t>On relèvera tout d’abord que l’incapacité de travail durable ayant débuté en juin 2020, c’est à bon droit que l’intimé a fixé le début du droit à la rente d’invalidité au 1er juin 2021, soit à l’issue du délai d’attente d’une année (art. 28 al. 1 let. c LAI). S’agissant de la période du 1er juin 2021 au 30 septembre 2022, l’intimé s’est fondé le rapport d’enquête économique du 3 mars 2023 pour retenir un degré d’invalidité de 50%. En l’occurrence, le service des enquêtes de l’intimé n’a pas déterminé le taux d’invalidité du recourant en application de la méthode extraordinaire, mais ordinaire, soit en comparant le revenu tiré de son activité indépendante avec invalidité et le revenu sans invalidité provenant de son activité d’ouvrier dans la construction qui était la sienne avant l’accident dont il a été victime le</w:t>
      </w:r>
    </w:p>
    <w:p>
      <w:r>
        <w:t>A/2806/2023 - 18/20 - 20 septembre 2002 (CHF 62'335.- en 2004, indexé à 2021, soit CHF 71'993.-). Á juste titre, le recourant ne conteste pas le revenu sans invalidité retenu par l’intimé. S’agissant de la détermination du revenu avec invalidité, on rappellera que quand bien même le recourant présentait une incapacité de travail totale dans toute activité, admise par le SMR, et partant, par l’intimé, le recourant a tout de même exercé à temps partiel son activité habituelle de chauffeur dès décembre 2020, ce qui n’est pas contesté par ce dernier. Le service des enquêtes de l’intimé s’est procuré les pièces comptables du recourant pour les années 2019 à 2022, qu’il a corrigés pour porter en déduction notamment les indemnités journalières perte de gain maladie et les allocations COVID-19 ou des dépenses non pertinentes pour la comparaison des revenus, tel que le loyer pour l’occupation d’une pièce. Aussi faut-il admettre qu’après les correctifs apportés aux bénéfices d’exploitation, la moyenne des bénéfices 2021- 2022 ainsi corrigés, soit CHF 35'656.-, correspond à la part de revenu résultant de la prestation de travail du recourant pendant cette période, de sorte que le recours à une méthode autre que la méthode de comparaison des revenus mise en œuvre par l’intimé ne s’impose pas. Le recourant, qui ne conteste pas les bénéfices d’exploitation ainsi corrigés, fait valoir que les comptes 2021 et 2022 ne peuvent être utilisés dès lors qu’il effectue son activité au-delà de ce qui est exigible « au prix d’un effort bien supérieur à ses limites physiques dues à sa santé » selon le Dr C______ (rapport du 19 février 2024) et qu’il convient plutôt de se fonder sur les comptes d’exploitation 2018- 2019, tout en réduisant les chiffres d’affaires réalisés pour tenir compte de son incapacité de travail. Or, la chambre de céans ne saurait suivre le raisonnement du recourant et se fonder sur les bénéfices obtenus avant le début de son incapacité de travail. On rappellera en effet que dans le cadre de la méthode de la comparaison des revenus, lorsque l’assuré est une personne de condition indépendante, le revenu avec invalidité se détermine sur les résultats d’exploitation réalisés dans son entreprise après la survenance de l’invalidité (arrêt du Tribunal fédéral 8C_2/2023 du</w:t>
      </w:r>
    </w:p>
    <w:p>
      <w:r>
        <w:rPr>
          <w:b/>
        </w:rPr>
        <w:t>E. 7</w:t>
      </w:r>
    </w:p>
    <w:p>
      <w:r>
        <w:t>En conséquence, le recours est partiellement admis, la décision litigieuse annulée en tant qu’elle limite le droit du recourant à une rente d’invalidité au 30 septembre 2022 et confirmée pour le surplus, la cause étant renvoyée à l'intimé pour instruction complémentaire, sous la forme d’une expertise indépendante, au sens de l’art. 44 LPGA. À l'issue de cette instruction, l'intimé rendra, dans les meilleurs délais, une nouvelle décision quant au droit du recourant à une rente d'invalidité dès le 1er octobre 2022. Le recourant a droit à des dépens, qui seront fixés à CHF 3'000.- (art. 61 let. g LPGA ; 89H al. 3 LPA et 6 du règlement sur les frais, émoluments et indemnités en matière administrative du 30 juillet 1986 [RFPA - E 5 10.03]). La procédure en matière d'octroi de prestations de l'assurance-invalidité n'étant pas gratuite et au vu du sort du recours, il y a lieu de condamner l'intimé au paiement d'un émolument de CHF 200.- (art. 69 al. 1bis LAI).</w:t>
      </w:r>
    </w:p>
    <w:p>
      <w:r>
        <w:t>A/2806/2023 - 20/20 -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