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ATAS/531/2022 vom 13. Juni 2022</w:t>
      </w:r>
    </w:p>
    <w:p>
      <w:r>
        <w:t>GE Cour de justice, 2022-06-13, FR</w:t>
      </w:r>
    </w:p>
    <w:p>
      <w:r>
        <w:rPr>
          <w:b/>
        </w:rPr>
        <w:t xml:space="preserve">Quelle: </w:t>
      </w:r>
      <w:r>
        <w:t>https://mcp.opencaselaw.ch/entscheid/ge_gerichte_ATAS_531_2022</w:t>
      </w:r>
    </w:p>
    <w:p>
      <w:r>
        <w:t>FR: GE_GERICHTE ATAS/531/2022 du 13 juin 2022</w:t>
      </w:r>
    </w:p>
    <w:p>
      <w:r>
        <w:t>IT: GE_GERICHTE ATAS/531/2022 del 13 giugno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Le litige porte uniquement sur la date à partir de laquelle doit être prise en compte la suppression de la pension alimentaire.</w:t>
      </w:r>
    </w:p>
    <w:p>
      <w:r>
        <w:rPr>
          <w:b/>
        </w:rPr>
        <w:t>E. 7</w:t>
      </w:r>
    </w:p>
    <w:p>
      <w:r>
        <w:t>Sur le plan fédéral, l’art. 9 LPC dispose que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l'assurance-vieillesse et survivants (ci-après : AVS) ou de l'assurance-invalidité (ci-après : AI) sont additionnés (al. 2, 1ère phrase). Il n’est pas tenu compte, dans le calcul de la prestation complémentaire annuelle, des enfants dont les revenus déterminants dépassent les dépenses reconnues (al. 4). Selon l’art. 11 al. 1 LPC, les revenus déterminants comprennent notamment, les pensions alimentaires prévues par le droit de la famille (let. h).</w:t>
      </w:r>
    </w:p>
    <w:p>
      <w:r>
        <w:rPr>
          <w:b/>
        </w:rPr>
        <w:t>E. 8</w:t>
      </w:r>
    </w:p>
    <w:p>
      <w:r>
        <w:t>Sur le plan cantonal, le montant annuel de la prestation complémentaire correspond à la part des dépenses reconnues qui excède le revenu annuel déterminant de l'intéressé (art. 15 al. 1 LPCC). Selon l'art. 5 LPCC, le revenu déterminant est calculé conformément aux règles fixées dans la LPC et ses dispositions d'exécution, moyennant les adaptations énoncées aux lettres a à c (non pertinentes en l'espèce).</w:t>
      </w:r>
    </w:p>
    <w:p>
      <w:r>
        <w:rPr>
          <w:b/>
        </w:rPr>
        <w:t>E. 9</w:t>
      </w:r>
    </w:p>
    <w:p>
      <w:r>
        <w:t>Selon l’art. 25 al. 1 let. c de l'ordonnance sur les prestations complémentaires à l’assurance-vieillesse, survivants et invalidité du 15 janvier 1971 (OPC-AVS/AI - RS 831.301),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w:t>
      </w:r>
    </w:p>
    <w:p>
      <w:r>
        <w:rPr>
          <w:b/>
        </w:rPr>
        <w:t>E. 9.1</w:t>
      </w:r>
    </w:p>
    <w:p>
      <w:r>
        <w:t>Selon l’art. 25 al. 2 OPC-AVS/AI, la nouvelle décision doit porter effet dès la date suivante : dans les cas prévus par l’al. 1 let. c, lors d’une augmentation de l’excédent des dépenses, dès le début du mois au cours duquel le changement a été annoncé, mais au plus tôt à partir du mois dans lequel celui-ci est survenu (let. b).</w:t>
      </w:r>
    </w:p>
    <w:p>
      <w:r>
        <w:t>A/805/2021 - 5/7 - L'art. 25 al. 2 let. b OPC-AVS/AI ‒ qui selon la jurisprudence exclut un effet rétroactif plus ample ‒ part de l'idée que les changements des circonstances sont annoncés sans tarder (cf. art. 24 OPC-AVS/AI sur l'obligation de renseigner ; arrêt du Tribunal fédéral 8C_305/2007 du 23 avril 2008 consid. 4 et la référence). Si tel n'est pas le cas, l'assuré perd le droit à une prestation complémentaire plus élevée pour la période se situant entre le changement et celui de l'annonce. Le droit à des paiements arriérés est ainsi limité (Michel VALTERIO, Commentaire de la loi fédérale sur les prestations complémentaires à l'AVS et à l'AI, 2015, n. 170 ad art. 21 LPC et la référence).</w:t>
      </w:r>
    </w:p>
    <w:p>
      <w:r>
        <w:rPr>
          <w:b/>
        </w:rPr>
        <w:t>E. 9.2</w:t>
      </w:r>
    </w:p>
    <w:p>
      <w:r>
        <w:t>Selon l'art. 19 LPCC, la prestation est modifiée selon les règles prévues en matière de PCF à l'assurance-vieillesse, survivants et invalidité.</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la recourante voudrait que la suppression de la pension alimentaire ‒ en faveur de son fils, né le 11 janvier 2002, inclus dans le calcul des prestations complémentaires ‒ prenne effet à compter du 1er janvier 2020, mois dans lequel la modification des revenus est intervenue, alors que selon l'intimé, ce changement de circonstances ne peut rétroagir qu'au 1er août 2020, mois au cours duquel il a été annoncé.</w:t>
      </w:r>
    </w:p>
    <w:p>
      <w:r>
        <w:rPr>
          <w:b/>
        </w:rPr>
        <w:t>E. 11.1</w:t>
      </w:r>
    </w:p>
    <w:p>
      <w:r>
        <w:t>La recourante ne conteste pas avoir annoncé tardivement la modification de revenus. Elle allègue toutefois que ce retard n'est imputable à aucune faute de sa part.</w:t>
      </w:r>
    </w:p>
    <w:p>
      <w:r>
        <w:rPr>
          <w:b/>
        </w:rPr>
        <w:t>E. 11.2</w:t>
      </w:r>
    </w:p>
    <w:p>
      <w:r>
        <w:t>Or, les explications de la recourante ne sont pas propres à justifier l'annonce tardive de la modification de revenus. D'une part, les certificats d'arrêt de travail qu'elle a produits relatifs à la période du</w:t>
      </w:r>
    </w:p>
    <w:p>
      <w:r>
        <w:rPr>
          <w:b/>
        </w:rPr>
        <w:t>E. 11.3</w:t>
      </w:r>
    </w:p>
    <w:p>
      <w:r>
        <w:t>Il s'ensuit que la décision sur opposition du 26 janvier 2021 par laquelle l'intimé a fixé au 1er août 2020 la date de l'augmentation de la prestation complémentaire est conforme à l'art. 25 al. 2 let. b OPC-AVS/AI, la recourante ayant annoncé la modification du revenu déterminant le 4 août 2020. 12. Au vu de ce qui précède, le recours sera rejeté. Pour le surplus, la procédure est gratuite (art. 61 let. fbis a contrario LPGA). * * * * * *</w:t>
      </w:r>
    </w:p>
    <w:p>
      <w:r>
        <w:t>A/805/2021 - 7/7 - PAR CES MOTIFS, LA CHAMBRE DES ASSURANCES SOCIALES : Statuant À la forme :</w:t>
      </w:r>
    </w:p>
    <w:p>
      <w:r>
        <w:rPr>
          <w:b/>
        </w:rPr>
        <w:t>E. 16</w:t>
      </w:r>
    </w:p>
    <w:p>
      <w:r>
        <w:t>janvier au 23 juin 2020 ne lui sont d'aucun secours, puisque, comme le relève l'intimé, elle disposait à tout le moins d'un mois environ pour l'informer de la teneur du courrier du SCARPA du 16 décembre 2019, aucun rapport émanant d'un médecin ne faisant état d'un empêchement jusqu'au 15 janvier 2020. Le courrier du SCARPA du 7 février 2020, dans lequel cette autorité a imparti au fils de la recourante un délai au 28 février 2020 pour lui indiquer s'il souhaiterait qu'elle poursuive le mandat de recouvrement des pensions alimentaires dues par le père durant la minorité, n'est pas pertinent non plus. La recourante savait qu'elle</w:t>
      </w:r>
    </w:p>
    <w:p>
      <w:r>
        <w:t>A/805/2021 - 6/7 - ne recevait plus sur son compte bancaire la pension alimentaire ‒ fait en sa faveur qu'elle aurait pu communiquer à l'intimé dès qu'elle en a pris connaissance jusqu'au 15 janvier 2020, comme mentionné ci-dessus. Et, dans l'hypothèse où le SCARPA continuerait à entreprendre toute démarche en vue de recouvrer les pensions dues au fils durant sa minorité, il incombe de toute manière à la recourante de signaler à l'intimé les éventuels arriérés de pension alimentaire encaissés ‒ fait pouvant avoir une incidence sur le montant des PC allouées à la recourante pour autant que le fils soit toujours inclus dans le calcul. D'autre part, on ne voit pas en quoi, durant la période du 22 juin au 3 août 2020, l'invasion de punaises de lit aurait empêché la recourante de transmettre à l'intimé le courrier du SCARPA du 16 décembre 2019, puisque de son propre aveu, pendant cette période, elle a pu effectuer d'autres démarches, telles que la préparation de son appartement en vue du traitement contre ces punaises (courrier de la Gérance immobilière municipale du 27 juillet 2020 ; réplique du</w:t>
      </w:r>
    </w:p>
    <w:p>
      <w:r>
        <w:rPr>
          <w:b/>
        </w:rPr>
        <w:t>E. 19</w:t>
      </w:r>
    </w:p>
    <w:p>
      <w:r>
        <w:t>avril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