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ATAS/531/2017 vom 26. Juni 2017</w:t>
      </w:r>
    </w:p>
    <w:p>
      <w:r>
        <w:t>GE Cour de justice, 2017-06-26, FR</w:t>
      </w:r>
    </w:p>
    <w:p>
      <w:r>
        <w:rPr>
          <w:b/>
        </w:rPr>
        <w:t xml:space="preserve">Quelle: </w:t>
      </w:r>
      <w:r>
        <w:t>https://mcp.opencaselaw.ch/entscheid/ge_gerichte_ATAS_531_2017</w:t>
      </w:r>
    </w:p>
    <w:p>
      <w:r>
        <w:t>FR: GE_GERICHTE ATAS/531/2017 du 26 juin 2017</w:t>
      </w:r>
    </w:p>
    <w:p>
      <w:r>
        <w:t>IT: GE_GERICHTE ATAS/531/2017 del 26 giugno 2017</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L'objet du litige porte sur la question de l’aptitude au placement de la recourante depuis le 1er janvier 2017.</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w:t>
      </w:r>
    </w:p>
    <w:p>
      <w:r>
        <w:t>A/1177/2017 - 5/7 -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w:t>
      </w:r>
    </w:p>
    <w:p>
      <w:r>
        <w:rPr>
          <w:b/>
        </w:rPr>
        <w:t>E. 5</w:t>
      </w:r>
    </w:p>
    <w:p>
      <w:r>
        <w:t>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L'article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26 de l’ordonnance du 31 août 1983 sur l’assurance-chômage obligatoire et l’indemnité en cas d’insolvabilité (OACI ; RS 837.02)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Depuis l'entrée en vigueur le 1er avril 2011 des modifications de la LACI, l'al. 2bis de cette disposition a été abrogé, de sorte que si l'assuré ne remet pas ses recherches dans ce délai, l’office compétent ne lui impartit plus un délai raisonnable pour le faire. Conformément à l’al. 2 qui a été complété, à l'expiration de ce délai, et en</w:t>
      </w:r>
    </w:p>
    <w:p>
      <w:r>
        <w:t>A/1177/2017 - 6/7 - l'absence d'excuse valable, les recherches d'emploi ne sont plus prises en considération.</w:t>
      </w:r>
    </w:p>
    <w:p>
      <w:r>
        <w:rPr>
          <w:b/>
        </w:rPr>
        <w:t>E. 6</w:t>
      </w:r>
    </w:p>
    <w:p>
      <w:r>
        <w:t>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recourante ne conteste pas le bien-fondé de la décision litigieuse la déclarant inapte au placement dès le 1er janvier 2017 ; elle reconnait un comportement fautif mais fait valoir la situation financière difficile dans laquelle elle se trouve et espère trouver une solution pour l’avenir. A cet égard, la représentante de l’intimé a précisé qu’après une période d’observation de la recourante de trois mois, l’aptitude au placement peut à nouveau être admise à la condition que la recourante respecte scrupuleusement ses devoirs de chômeuse.</w:t>
      </w:r>
    </w:p>
    <w:p>
      <w:r>
        <w:rPr>
          <w:b/>
        </w:rPr>
        <w:t>E. 9</w:t>
      </w:r>
    </w:p>
    <w:p>
      <w:r>
        <w:t>Au vu de ce qui précède et compte tenu des multiples sanctions prononcées à l’encontre de la recourante, le recours ne peut qu'être rejeté et la décision litigieuse confirmée.</w:t>
      </w:r>
    </w:p>
    <w:p>
      <w:r>
        <w:rPr>
          <w:b/>
        </w:rPr>
        <w:t>E. 10</w:t>
      </w:r>
    </w:p>
    <w:p>
      <w:r>
        <w:t>Pour le surplus, la procédure est gratuite.</w:t>
      </w:r>
    </w:p>
    <w:p>
      <w:r>
        <w:t>A/1177/2017 - 7/7 -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