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ATAS/531/2014 vom 22. April 2014</w:t>
      </w:r>
    </w:p>
    <w:p>
      <w:r>
        <w:t>GE Cour de justice, 2014-04-22, FR</w:t>
      </w:r>
    </w:p>
    <w:p>
      <w:r>
        <w:rPr>
          <w:b/>
        </w:rPr>
        <w:t xml:space="preserve">Quelle: </w:t>
      </w:r>
      <w:r>
        <w:t>https://mcp.opencaselaw.ch/entscheid/ge_gerichte_ATAS_531_2014</w:t>
      </w:r>
    </w:p>
    <w:p>
      <w:r>
        <w:t>FR: GE_GERICHTE ATAS/531/2014 du 22 avril 2014</w:t>
      </w:r>
    </w:p>
    <w:p>
      <w:r>
        <w:t>IT: GE_GERICHTE ATAS/531/2014 del 22 aprile 2014</w:t>
      </w:r>
    </w:p>
    <w:p>
      <w:pPr>
        <w:pStyle w:val="Heading2"/>
      </w:pPr>
      <w:r>
        <w:t>Erwägungen</w:t>
      </w:r>
    </w:p>
    <w:p>
      <w:r>
        <w:rPr>
          <w:b/>
        </w:rPr>
        <w:t>E. 1</w:t>
      </w:r>
    </w:p>
    <w:p>
      <w:r>
        <w:t>Conformément à l'art. 134 al. 1 let. a ch. 2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recours est recevable (art. 56ss LPGA).</w:t>
      </w:r>
    </w:p>
    <w:p>
      <w:r>
        <w:rPr>
          <w:b/>
        </w:rPr>
        <w:t>E. 4</w:t>
      </w:r>
    </w:p>
    <w:p>
      <w:r>
        <w:t>L’objet du litige porte sur le droit du recourant à une rente, ainsi que sur son droit à des mesures d’orientation professionnelle.</w:t>
      </w:r>
    </w:p>
    <w:p>
      <w:r>
        <w:rPr>
          <w:b/>
        </w:rPr>
        <w:t>E. 5</w:t>
      </w:r>
    </w:p>
    <w:p>
      <w:r>
        <w:t>Aux termes de l’art. 8 al. 1er LPGA, est réputée invalidité l’incapacité de gain totale ou partielle qui est présumée permanente ou de longue durée. Selon l'art. 6 LPGA,</w:t>
      </w:r>
    </w:p>
    <w:p>
      <w:r>
        <w:t>A/3014/2013 - 14/20 -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w:t>
      </w:r>
    </w:p>
    <w:p>
      <w:r>
        <w:t>A/3014/2013 - 15/20 - générale, l'assuré ne peut pas prétendre à la meilleure formation possible dans son cas, la loi ne visant en effet qu'à assurer les mesures de réadaptation qui sont nécessaires et suffisantes compte tenu du cas d'espèce (ATF 121 V 258 consid. 2c).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(ATFA non publié I 170/06 du 16 février 2007, consid. 3.2 et 3.4).</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w:t>
      </w:r>
    </w:p>
    <w:p>
      <w:r>
        <w:t>A/3014/2013 - 16/20 -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w:t>
      </w:r>
    </w:p>
    <w:p>
      <w:r>
        <w:rPr>
          <w:b/>
        </w:rPr>
        <w:t>E. 8</w:t>
      </w:r>
    </w:p>
    <w:p>
      <w:r>
        <w:t>Il convient en premier lieu d’examiner les rapports médicaux à disposition. a) S’agissant de l’expertise du Dr J______, elle a été établie en parfaite connaissance du dossier médical du recourant, que l’expert a également interrogé sur ses plaintes. Les diagnostics et conclusions ont été posés à l’issue d’un examen complet. Ce document satisfait ainsi formellement aux réquisits jurisprudentiels exposés ci-dessus. En ce qui concerne les conclusions, l’expert a expressément relevé la difficulté à déterminer rétroactivement la capacité de travail mais a néanmoins admis une légère amélioration progressive au fil des mois. Si on ignore sur quels éléments cliniques il se fonde pour admettre ces progrès, cet élément n’est pas suffisant pour dénier toute valeur probante au rapport du Dr J______. Sur ce point, il concorde d’ailleurs avec le certificat établi le 24 juillet 2008 par le Dr G______, admettant une reprise du travail le 1er septembre 2008 et les indications de ce même médecin du 16 septembre 2008, aux termes desquelles le recourant pouvait exercer une activité adaptée. Partant, on doit reconnaître une pleine valeur probante au rapport d’expertise.</w:t>
      </w:r>
    </w:p>
    <w:p>
      <w:r>
        <w:t>A/3014/2013 - 17/20 - Il faut cependant souligner que l’expert a tenu compte d’une capacité de travail partielle dans une activité adaptée dès le 1er octobre 2008. Le SMR s’est écarté de cette date en retenant celle du 16 septembre 2008, conformément au certificat du Dr G______. Compte tenu des difficultés annoncées par l’expert pour dater le rétablissement de la capacité de gain du recourant, il est opportun de se rallier au SMR et de se référer aux indications du médecin traitant. Eu égard à ce qui précède, il convient d’admettre que le recourant a présenté une incapacité de travail complète du 24 avril 2007 au 16 septembre 2008, date dès laquelle il disposait d’une capacité de travail de 80 % et d’une diminution de rendement de 15 % dans une activité adaptée, compte tenu de la seule atteinte du rachis. On ne peut en particulier pas suivre le recourant lorsqu’il fait grief à l’intimé de ne pas avoir tenu compte de ses problèmes de dos puisque l’expert – à l’instar d’ailleurs du Dr H______ dans son avis du 17 janvier 2008 – a admis qu’ils ne permettaient pas la poursuite de l’activité antérieure et a retenu à ce titre plusieurs limitations fonctionnelles ainsi qu’un taux de travail réduit. b) Il n’existe en outre aucun élément médical justifiant que l’on s’écarte de l’expertise. Le médecin traitant a en effet lui-même admis que l’exercice d’une activité adaptée aux limitations fonctionnelles restait possible. Les consultations ponctuelles en urgence pour des douleurs dorsales ne suffisent pas pour conclure à une aggravation durable des troubles du recourant. Les examens radiologiques pratiqués par le Dr I______ en février 2010 n’ont de plus pas révélé de changement par rapport à ceux qu’il avait réalisés en août 2008, et dont l’expert a eu connaissance. Quant aux Drs L______ et N______, ils ne se sont pas prononcés sur la capacité de travail du recourant mais rejoignent l’expert s’agissant du fait que les hernies ne sont pas à l’origine des douleurs puisque le premier de ces médecins a écarté un déficit neurologique et le second a indiqué qu’il n’existait pas d’élément pour une lombalgie spécifique. Le Dr S______ retient également qu’une activité de travail reste adaptée. Il est vrai que le Dr G______ a fait état d’une aggravation le 16 septembre 2010. Cela étant, il ne mentionne aucune atteinte nouvelle étayant la dégradation signalée mais annonce une prise en charge psychique, sur laquelle la Chambre de céans reviendra plus loin. Il faut de surcroît relever que les rapports du Dr G______, outre qu’ils ne comprennent pas les éléments formels nécessaires pour se voir reconnaître valeur probante selon la jurisprudence, ne sont pas exempts de contradictions sur la capacité de travail du recourant. Ce médecin a en effet évoqué en premier lieu une capacité de travail de 60 à 80 % tout en indiquant qu’une activité était possible 4 heures par jour (rapport du 27 octobre 2007), puis d’une capacité de travail de 50 % dès le 9 novembre 2009 et de 100 % dès le 12 décembre 2009 (certificat du 3 novembre 2009), d’une capacité de travail de 50 % dans une activité adaptée (rapport du 16 septembre 2010) alors qu’il a fait état d’une incapacité de travail de 80 % depuis 2007 (rapport du 10 septembre 2013).</w:t>
      </w:r>
    </w:p>
    <w:p>
      <w:r>
        <w:t>A/3014/2013 - 18/20 - c) S’agissant des troubles psychiques, ils ont également fait l’objet d’une mesure d’instruction par l’intimé. Ce dernier a en effet interpelé le Dr O______, qui a conclu que l’atteinte psychique était compatible avec une activité exercée à 80 %. En l’absence de diagnostic psychiatrique nouveau, des examens complémentaires ne se justifient pas. d) Reste à déterminer la portée à donner aux constatations de l’entreprise PRO.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non publié 9C_512/2013 du 16 janvier 2014, consid. 5.2.1 et les références). En l’espèce, le rapport de stage expose que les efforts excessifs du recourant ont notamment conduit à une tendinite. Or, il n’existe aucun rapport médical faisant état d’une telle atteinte – la seule évocation d’un problème de poignet ressort du rapport du 3 mai 2011 du Dr G______, qui mentionne une opération du canal carpien en 2009. Pour le surplus, l’entreprise PRO ne rapporte aucune limitation fonctionnelle qui n’aurait pas déjà été prise en compte par l’expert ou les médecins. En particulier, la recrudescence des douleurs dorsales liées à des travaux en principe proscrits (port de charges, positions en porte-à-faux) ne constitue pas un élément nouveau puisque le Dr H______ a déjà admis ces limitations fonctionnelles dans son avis du 17 janvier 2008. Quant à la possible atteinte psychique, elle n’est selon le Dr O______ pas de nature à entraîner une incapacité de travail supérieure à celle admise pour les seuls troubles somatiques. Partant, le rapport de l’entreprise PRO ne permet pas non plus de s’écarter des conclusions de l’expertise. e) Le recourant présente néanmoins deux atteintes dont l’incidence sur sa capacité de gain n’ont pas été investiguées par l’intimé. La Dresse P______ admet en effet dans son avis d’octobre 2013 qu’aucun élément ne permet d’évaluer la gravité de l’atteinte au poignet diagnostiquée, et que le SMR ne dispose pas de renseignements sur l’évolution et le traitement du syndrome d’apnées du sommeil. Il convient dès lors de renvoyer la cause à l’intimé pour qu’il procède aux investigations nécessaires afin de déterminer l’importance de ces troubles et leurs répercussions sur la capacité de gain du recourant. Il y aura cas échéant lieu de</w:t>
      </w:r>
    </w:p>
    <w:p>
      <w:r>
        <w:t>A/3014/2013 - 19/20 - procéder également à un nouveau calcul du degré d’invalidité, qui devra tenir compte des nouvelles limitations fonctionnelles et des autres facteurs justifiant un abattement sur le revenu statistique, telles que les limitations liées au handicap, l’âge, les années de service, la catégorie d'autorisation de séjour et le taux d'occupation (ATF 126 V 75 consid. 5b).</w:t>
      </w:r>
    </w:p>
    <w:p>
      <w:r>
        <w:rPr>
          <w:b/>
        </w:rPr>
        <w:t>E. 9</w:t>
      </w:r>
    </w:p>
    <w:p>
      <w:r>
        <w:t>Eu égard à ce qui précède, le recours est très partiellement admis. Le recourant a droit à des dépens, qu’il convient de fixer à CHF 1'000.- (art. 61 let. g LPGA). La procédure en matière d'assurance-invalidité n'étant pas gratuite (art. 69 al. 1bis LAI), l'intimé supportera également un émolument de CHF 200.-.</w:t>
      </w:r>
    </w:p>
    <w:p>
      <w:r>
        <w:t>A/3014/2013 - 20/20 -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