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ATAS/530/2015 vom 1. Juli 2015</w:t>
      </w:r>
    </w:p>
    <w:p>
      <w:r>
        <w:t>GE Cour de justice, 2015-07-01, FR</w:t>
      </w:r>
    </w:p>
    <w:p>
      <w:r>
        <w:rPr>
          <w:b/>
        </w:rPr>
        <w:t xml:space="preserve">Quelle: </w:t>
      </w:r>
      <w:r>
        <w:t>https://mcp.opencaselaw.ch/entscheid/ge_gerichte_ATAS_530_2015</w:t>
      </w:r>
    </w:p>
    <w:p>
      <w:r>
        <w:t>FR: GE_GERICHTE ATAS/530/2015 du 1 juillet 2015</w:t>
      </w:r>
    </w:p>
    <w:p>
      <w:r>
        <w:t>IT: GE_GERICHTE ATAS/530/2015 del 1 luglio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w:t>
      </w:r>
    </w:p>
    <w:p>
      <w:r>
        <w:t>A/2079/2014 - 14/28 -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respectivement 2012,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À titre liminaire, il y a lieu de déterminer l’objet du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refuse à la recourante aussi bien le droit à des mesures professionnelles que celui à une rente d’invalidité au-delà du 31 janvier 2012. Cela étant, le recours dont est saisi la chambre de céans ne concerne que le refus d’octroyer une rente au-delà de cette date. Partant, l’objet du litige ne porte que sur cet aspect de la contestation, singulièrement sur la survenance (ou non) d’une amélioration de l’état de santé de la recourante en novembre 2011.</w:t>
      </w:r>
    </w:p>
    <w:p>
      <w:r>
        <w:t>A/2079/2014 - 15/28 -</w:t>
      </w:r>
    </w:p>
    <w:p>
      <w:r>
        <w:rPr>
          <w:b/>
        </w:rPr>
        <w:t>E. 6</w:t>
      </w:r>
    </w:p>
    <w:p>
      <w:r>
        <w:t>Il convient de relever préalablement que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dans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Par ailleurs,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ss consid. 2; VSI 2001 p. 156 consid. 1).</w:t>
      </w:r>
    </w:p>
    <w:p>
      <w:r>
        <w:rPr>
          <w:b/>
        </w:rPr>
        <w:t>E. 7</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A/2079/2014 - 16/28 -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a)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w:t>
      </w:r>
    </w:p>
    <w:p>
      <w:r>
        <w:t>A/2079/2014 - 17/28 -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131 V 49 consid. 1.2). À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b) Le Tribunal fédéral a confirmé que les troubles somatoformes douloureux, la fibromyalgie ainsi que les troubles moteurs dissociatifs ont ceci de commun qu’ils génèrent des symptômes ne se rattachant pas à une lésion organique ou structurelle. À cela s’ajoute le fait que tant l’anesthésie dissociative et les atteintes sensorielles (F44.6) que les troubles moteurs dissociatifs (F44.4) sont classés parmi les troubles dissociatifs [de conversion] (F44.-). Rappelant qu’il avait déjà admis l’applicabilité de sa jurisprudence constante en matière de troubles somatoformes douloureux aux cas d’anesthésie dissociative et atteintes sensorielles (F44.6) (cf. arrêt du Tribunal fédéral I 9/07 du 9 février 2007 consid. 4), le Tribunal fédéral a considéré que le fait de réserver le même traitement juridique aux troubles moteurs dissociatifs était également correct sous l’angle de la classification internationale des maladies (CIM-10 ; Arrêt du Tribunal fédéral 9C_903/2007 du 30 avril 2008 consid. 3.4). On relèvera cependant que si dans le dernier arrêt cité, l’assuré souffrait certes de</w:t>
      </w:r>
    </w:p>
    <w:p>
      <w:r>
        <w:t>A/2079/2014 - 18/28 - troubles moteurs dissociatifs à la colonne cervicale, il ne présentait ni comorbidité psychiatrique, ni affection corporelle chronique (consid. 5). Il en va de même dans l’arrêt I 9/07 précité, en ce sens qu’il n’y était pas fait mention d’un diagnostic autre qu’une anesthésie dissociative et atteintes sensorielles d’un point de vue psychiatrique. Dans un arrêt plus récent, le Tribunal fédéral a estimé, dans le cas d’une assurée atteinte de fibromyalgie, qu’on ne pouvait qualifier de comorbidité psychiatrique importante la dysthymie et la personnalité à traits histrioniques qui complétaient la liste des diagnostics posés. Le Tribunal fédéral a ajouté qu’il n’y avait pas lieu de s’écarter de cette appréciation portée par les premiers juges, puisque ni la dysthymie ni les traits de la personnalité relevés par le psychiatre ne présentaient un caractère de gravité tel qu’ils devaient être assimilés à de véritables atteintes à la santé psychique. En effet, ce praticien avait indiqué que seul persistait « tout au plus un très léger fond dysthymique sub-clinique, tandis que les traits de personnalité histrionique « décompensés » relevaient non pas d’un grave trouble de la personnalité hystérique, mais d’un « aménagement assez réussi permettant à l’intéressée de fonctionner » (arrêt du Tribunal fédéral 9C_683/2008 du 25 février 2009 consid. 3.2.2). En revanche, le Tribunal fédéral a considéré qu’il était douteux que les critères jurisprudentiels en matière de troubles somatoformes douloureux puissent être appliqués dans le cadre de troubles dissociatifs de conversion mixtes. En effet, le psychiatre du COMAI avait estimé que ce dernier diagnostic se distinguait de celui de troubles somatoformes douloureux sous plusieurs aspects. D’autre part, selon le Tribunal fédéral, il était non moins douteux que les critères précités aient vocation à s’appliquer pour évaluer non pas les répercussions de l’atteinte à la santé sur la capacité de travail de l’assurée du point de vue du droit à une rente d’invalidité, mais sur l’aptitude de celle-ci à effectuer les actes de la vie quotidienne sous l’angle du droit à une allocation pour impotent. Cela étant, le jugement cantonal entrepris n’apparaissait pas contraire au droit en tant qu’il reconnaissait le droit à une allocation pour impotent. En effet, indépendamment de l’examen des critères jurisprudentiels précités, la juridiction cantonale avait retenu que le caractère invalidant de l’atteinte à la santé présentée par l’assurée – trouble de conversion – n’était pas contesté, puisque celle-ci avait été mise au bénéfice d’une rente entière de l’assurance-invalidité, compte tenu d’une incapacité de travail totale de travail dans toute activité et d’une incapacité non moins totale d’effectuer les tâches ménagères (arrêt du Tribunal fédéral 9C_676/2008 du 12 janvier 2009 consid. 4.3.1 à 4.3.3). Enfin, dans un autre cas, le Tribunal fédéral a également laissé ouverte la question de l’applicabilité de la jurisprudence en matière de troubles somatoformes douloureux à des troubles dissociatifs de conversion mixtes dès lors que l'impression clinique de l’expert psychiatre avait déjà permis à celui-ci de conclure à l'existence d'une pleine capacité de travail (arrêt du Tribunal fédéral 9C_573/2009 du 16 décembre 2009 consid. 2.3).</w:t>
      </w:r>
    </w:p>
    <w:p>
      <w:r>
        <w:t>A/2079/2014 - 19/28 -</w:t>
      </w:r>
    </w:p>
    <w:p>
      <w:r>
        <w:rPr>
          <w:b/>
        </w:rPr>
        <w:t>E. 10</w:t>
      </w:r>
    </w:p>
    <w:p>
      <w:r>
        <w:t>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w:t>
      </w:r>
    </w:p>
    <w:p>
      <w:r>
        <w:t>A/2079/2014 - 20/28 -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w:t>
      </w:r>
    </w:p>
    <w:p>
      <w:r>
        <w:rPr>
          <w:b/>
        </w:rPr>
        <w:t>E. 11</w:t>
      </w:r>
    </w:p>
    <w:p>
      <w:r>
        <w:t>En l’espèce, la recourante conteste la suppression de la rente au 31 janvier 2012, motif pris qu’il n’y a pas eu d’amélioration de son état de santé. L’intimé, quant à lui se fonde sur l’expertise de la CRR de 2011 et les rapports du SMR pour justifier sa décision. Dans la mesure où l’intimé a octroyé à la recourante une rente d’invalidité avec effet rétroactif et, en même temps, l’a supprimée, il s’agit d’un cas de révision. Par conséquent, les conditions d’une révision de la rente doivent être remplies : il faut en particulier que le taux d’invalidité de la recourante ait subi une modification notable entre le moment de l’attribution et le moment de la suppression.</w:t>
      </w:r>
    </w:p>
    <w:p>
      <w:r>
        <w:t>A/2079/2014 - 21/28 -</w:t>
      </w:r>
    </w:p>
    <w:p>
      <w:r>
        <w:rPr>
          <w:b/>
        </w:rPr>
        <w:t>E. 12</w:t>
      </w:r>
    </w:p>
    <w:p>
      <w:r>
        <w:t>a) La recourante présente diverses atteintes à la santé qui ont fait l’objet d’investigations médicales et, notamment, d’une expertise pluridisciplinaire par la CRR. La recourante a été examinée en date des 25 et 26 octobre 2011 par les Drs J______, spécialiste FMH en chirurgie, K______, spécialiste FMH en médecine interne et rhumatologie, L______, spécialise FMH en neurologie et I. M______, psychiatre et psychothérapeute, cheffe de clinique. Les trois derniers cités ont rendu leurs conclusions respectivement les 27 octobre 2011 (expertise rhumatologique), 28 octobre 2011 (expertise neurologique) et 2 novembre 2011 (expertise psychiatrique) avant de se livrer à un entretien de synthèse consigné au rapport du 29 novembre 2011. La chambre de céans constate que ce rapport comporte une anamnèse personnelle familiale, personnelle et sociale, une analyse complète du dossier médical et des documents d’imagerie, une description du status sur la base des examens cliniques et du dossier médical ainsi que les données subjectives. Une évaluation en ateliers professionnels a également été effectuée. Sur le plan rhumatologique, le Dr K______ retient qu’en s’en tenant uniquement au système ostéo-articulaire, il ne peut admettre, comme seule anomalie, que les modifications discales C6-C7 (après double opération et mise en place d’une cage intersomatique) et, dans une mesure nettement moindre, C5-C6. Pour le reste, le rachis lombaire, principal site de souffrance selon l’anamnèse, ne présente aucune anomalie. En faisant abstraction du comportement parasite (boiterie robotique difficilement intelligible au plan médical, manifestations inhabituelles telles que contorsions subites, secousses ou lâchages, notamment lors de l’examen du rachis cervical ou de la région pelvienne), tous les mouvements sont amples et ne montrent aucun signe suggérant une lésion spécifique, en particulier un conflit disco-radiculaire lombo-sacré. S’il est vrai que la recourante présente des cervico- brachialgies gauches chroniques (M53.1) en lien avec la mise en place d’une prothèse cervicale le 7 février 2006 et l’ablation ultérieure de celle-ci (spondylodèse par cage et plaques) en 2009 et que ces douleurs ont une répercussion sur la capacité de travail, l’expert considère que la douleur alléguée paraît démesurée au regard du comportement qu’elle adopte en sa présence. Il estime également que pour une personne autonome dans sa vie, ses déplacements et la gestion de son ménage, les projets professionnels de la recourante paraissent peu investis, en ce sens qu’il ne comprend pas pourquoi elle pourrait, selon ses propres dires, travailler au plus trois heures par jour, mais de façon discontinue, dans la gestion d’un établissement public. L’expert retient finalement que si l’on peut admettre que l’atteinte cervicale impose certaines limites quant aux efforts qu’on peut attendre de la recourante, aussi bien en termes de maintien de la posture (une heure avant de changer de position) que de port de charges (pas de charges supérieures à 5 kg de façon répétée), il n’en considère pas moins qu’une activité tenant compte de ces limitations pourrait être exercée à plein temps dès le début de l’année 2010, soit cinq mois après la seconde intervention sur le rachis cervical.</w:t>
      </w:r>
    </w:p>
    <w:p>
      <w:r>
        <w:t>A/2079/2014 - 22/28 - Du point de vue neurologique, le Dr L______ ne retient pas de limitation professionnelle. Il précise que l'examen détaillé du 26 octobre 2011 montre des signes de la lignée anxieuse mais ne relève pas d’anomalie objective pouvant expliquer les plaintes de la recourante, dont le schéma de marche très atypique (marche dysrythmique ponctuée de ralentissements et de mouvements latéraux, accompagnés de bons réflexes de rattrapage) fait évoquer une composante fonctionnelle. Ses réflexes ostéo-tendineux sont « normovifs » et présents, sa force conservée. Sur le plan psychique, la Dresse M______ n’objective aucune anomalie ou lésion susceptible d’expliquer le tableau clinique ou tout au moins l’intensité des douleurs. Dans son contact, l’assurée frappe ainsi par son côté démonstratif, l’entretien étant ponctué de soupirs profonds, de grimaces, de mouvements mal coordonnés et brusques de « pantin désarticulé » qui concourent à une impression de théâtralité. L’hyper-expressivité émotionnelle de la recourante ainsi que le côté « bruyant » de sa personnalité, sa tentative permanente de s’adapter à l’interlocuteur, de lui plaire comme un bon sujet d’examen permettent, selon l’experte, de retenir le diagnostic de personnalité histrionique (F 60.4). Elle précise que ce trouble de la personnalité n’a pas en soi de valeur incapacitante, sauf que dans le cas particulier, il est associé à un épisode de trouble dissociatif moteur et sensoriel (F 44.4-44.6) que l’experte motive par la survenue brusque et inexpliquée de phénomènes de lâchage des membres inférieurs, de paralysies intermittentes, de troubles de la vue, de modifications de l’ouïe et de l’odorat, phénomènes tous fugaces qui inspirent peu d’inquiétude et un relatif détachement à la recourante, malgré le caractère « bruyant » des symptômes (paralysie transitoire, trouble sensitif, etc.). Sur la base de ces éléments, l’experte psychiatre explique que le trouble de la personnalité (histrionique) prédispose aux épisodes de dissociations et à l’expression douloureuse et, en fin de compte, entraîne des obstacles à une activité professionnelle. La Dresse M______ en conclut, dans un premier temps, que la capacité de travail était actuellement nulle sur le premier marché du travail, mais que sous forme de mesures de réinsertion dans environnement protégé, elle serait de 50% au moins. Sur question de l’intimé, l’experte psychiatre a confirmé par courrier du 21 mars 2012 que c’étaient bien les manifestations du trouble dissociatif qui étaient responsables de l’incapacité de travail. Suite à une nouvelle interpellation de l’intimé rappelant à l’experte l’assimilation, par la jurisprudence, du syndrome de conversion au trouble somatoforme douloureux, elle a répété, en date du 23 novembre 2012, que le trouble de la personnalité seul n’avait pas de valeur incapacitante. Pour le surplus, elle a indiqué que les critères de gravité jurisprudentiels en matière de troubles somatoformes douloureux n’étaient pas remplis dans l’hypothèse où seul le syndrome de conversion avait une influence sur la capacité de travail. Au regard de ces éléments, la Dresse M______ a affirmé que l’association du trouble de la personnalité au syndrome de conversion conférait à la</w:t>
      </w:r>
    </w:p>
    <w:p>
      <w:r>
        <w:t>A/2079/2014 - 23/28 - première pathologie une valeur incapacitante à 40% (diminution de la résistance et du rendement, fatigabilité, difficultés relationnelles).</w:t>
      </w:r>
    </w:p>
    <w:p>
      <w:r>
        <w:t>Enfin, sur question de la chambre de céans, la Dresse M______ a précisé que c’était par « maladresse » que son courrier du 23 novembre 2012 mentionnait un taux d’incapacité de 40% en lieu et place d’une « capacité de 50% au moins » (cf. rapport d’expertise du 2 novembre 2011), ajoutant que sur le plan médical, il n’y avait pas de différence significative entre une capacité de 50% au moins et une incapacité de 40% dans un environnement protégé. En effet, même si son courrier du 23 novembre 2012 ne l’avait pas reprécisé, elle n’avait jamais apprécié la capacité de travail de la recourante autrement qu’en fonction d’un tel environnement. Quant aux critères jurisprudentiels de gravité du trouble somatoforme douloureux, ils n’étaient pas – de son point de vue médical – transposables tels quels à un autre diagnostic psychiatrique. Il s’ensuit que l’experte psychiatre n’a pas modifié les conclusions de son rapport d’expertise du 2 novembre 2011. Dans son rapport du 4 mars 2015, le SMR considère en revanche que dans la mesure où les critères jurisprudentiels de sévérité des troubles somatoformes persistants – qu’il juge applicables aux troubles de conversion – ne sont pas remplis, les troubles psychiques de la recourante ne sauraient être incapacitants. Et le SMR d’en déduire qu’il n’existerait pas de possibilité d’envisager une activité uniquement dans un environnement protégé. Cette approche se révèle schématique et réductrice à l’excès. Il n’est certes pas contesté que le Tribunal fédéral a retenu l’applicabilité de sa jurisprudence en matière de troubles somatoformes douloureux aux cas d’anesthésie dissociative et atteintes sensorielles (F44.6 ; arrêt du Tribunal fédéral I 9/07 du 9 février 2007) et qu’il l’a même étendue aux troubles moteurs dissociatifs (F44.4 ; arrêt du Tribunal fédéral 9C_903/2007). Cette assimilation a néanmoins ses limites, comme l’attestent les arrêts 9C_676/2009 du 12 janvier 2009 et 9C_573/2009 du 16 décembre 2009 où la question de l’applicabilité de la jurisprudence en matière de troubles somatoformes douloureux à des troubles dissociatifs de conversion mixtes a été laissée ouverte, notamment au regard d’avis médicaux se prononçant contre une telle application (arrêt 9C_676/2008 précité consid. 4.3.1 à 4.3.3). On sera tenté d’objecter que les cas où le Tribunal fédéral ne s’est pas prononcé concernaient des troubles dissociatifs de conversion mixtes (F44.7). Toutefois, en se fondant sur le raisonnement de la Haute Cour, qui postule de traiter de manière égale les cas d’anesthésie dissociative et les troubles moteurs dissociatifs, notamment parce qu’ils relèvent de la même catégorie de la CIM-10, celle des troubles dissociatifs de conversion (F44.- ; arrêt 9C_903/2007 précité, consid. 3.4), on ne voit pas pourquoi le médecin serait entendu sur l’applicabilité de la jurisprudence évoquée aux cas de troubles dissociatifs de conversion mixtes, et qu’il ne le serait pas en présence d’une anesthésie dissociative ou de troubles moteurs dissociatifs. Or, force est de relever qu’en l’espèce, la Dresse M______ a indiqué à deux reprises que de son</w:t>
      </w:r>
    </w:p>
    <w:p>
      <w:r>
        <w:t>A/2079/2014 - 24/28 - point de vue médical, les critères jurisprudentiels de gravité du trouble somatoforme douloureux, n’étaient pas transposables tels quels à un autre diagnostic psychiatrique. En second lieu, il convient de relever que dans les arrêts I 9/07 et 9C_903/2007 précités, les troubles dissociatifs en cause n’étaient accompagnés d’aucune comorbidité psychiatrique, contrairement à ce qui est le cas en l’espèce. En troisième lieu, la particularité de la situation de la recourante réside dans le fait que si le trouble de la personnalité – histrionique – n’a pas en soi de valeur incapacitante, c’est son association au syndrome de conversion qui lui confère une valeur incapacitante à 100%, respectivement à 40% dans un environnement protégé (cf. courriers de la Dresse M______ des 21 mars et 23 novembre 2012 et du 20 février 2015). Or, force est de constater que l’intimé, par la formulation de ses questions du 26 juillet 2012 à l’experte, ne tient pas compte de la particularité évoquée puisque la première question, relative à la valeur incapacitante, se rapporte uniquement au trouble de la personnalité et que la seconde concerne exclusivement l’hypothèse dans laquelle seul le syndrome de conversion aurait une influence sur la capacité de travail. Pour le surplus, cette seconde question impose à l’experte de se déterminer à la lumière des critères applicables aux troubles somatoformes, alors même qu’elle avait préalablement signalé que de son point de vue, ces critères n’étaient pas transposables. Compte tenu des réponses données par l’experte le 23 novembre 2012, l’intimé parvient logiquement à la conclusion qu’il n’existe pas de comorbidité psychiatrique importante par sa gravité, son acuité et sa durée et qu’en l’absence d’autres critères présentant une certaine acuité et constance (affection corporelle chronique, perte d’intégration sociale, état psychique cristallisé, échec des traitements conformes aux règles de l’art), la présomption que ces troubles peuvent être surmontés par un effort de volonté raisonnablement exigible n’a pas été renversée, d’où une capacité de travail qui ne serait pas seulement de 40%, mais complète dans une activité adaptée (cf. observations de l’intimé du 12 mars 2015). Ce raisonnement n’est toutefois pas acceptable dans la mesure où il revient à occulter l’interaction existant d’un point de vue médical entre les troubles dissociatifs et le trouble de la personnalité. Si dans l’arrêt 9C_683/2008 précité (cf. supra consid. 9b du présent arrêt), le Tribunal fédéral avait estimé, dans le cas d’une assurée atteinte de fibromyalgie, qu’on ne pouvait qualifier de comorbidité psychiatrique importante la dysthymie et la personnalité à traits histrioniques qui complétaient la liste des diagnostics posés, c’était parce que ni la dysthymie ni les traits de la personnalité relevés par le psychiatre ne présentaient un caractère de gravité tel qu’ils devaient être assimilés à de véritables atteintes à la santé psychique. En effet, ce praticien avait indiqué que seul persistait « tout au plus un très léger fond dysthymique sub- clinique, tandis que les traits de personnalité histrionique décompensés relevaient non pas d’un grave trouble de la personnalité hystérique, mais d’un aménagement assez réussi permettant à l’intéressée de fonctionner ». En l’espèce, la situation est manifestement différente puisque le trouble de la personnalité histrionique prédispose aux épisodes de dissociation et qu’il entraine des obstacles à une activité</w:t>
      </w:r>
    </w:p>
    <w:p>
      <w:r>
        <w:t>A/2079/2014 - 25/28 - professionnelle sur le premier marché du travail avec, en particulier, une incapacité d’établir des relations adéquates avec un éventuel employeur (cf. rapport d’expertise psychiatrique du 2 novembre 2011, p. 6). Par ailleurs, il importe de relever que le Tribunal fédéral a tout récemment modifié sa jurisprudence en matière de troubles somatoformes et d’affections assimilées et qu’un point central de ce changement de pratique concerne précisément la renonciation à la présomption du caractère surmontable des douleurs (arrêt du Tribunal fédéral 9C_492/2014 du 3 juin 2015, consid. 3.6). Bien que cette nouvelle jurisprudence ne modifie en rien la portée de l’art. 7 al. 2 LPGA, en ce sens qu’il appartient toujours à la personne assurée de prouver que son incapacité de gain n’est pas objectivement surmontable (même arrêt, consid. 3.7.2), il n’en demeure pas moins que l’incapacité de travail et de gain doit être déterminée en fonction de critères objectifs permettant d’apprécier si, nonobstant les pathologies diagnostiquées, un assuré est en mesure d’exercer une activité adaptée et, dans l’affirmative, à quel taux. En conséquence, il n’y a plus lieu de procéder à un examen distinct ayant pour objet de déterminer le caractère surmontable des douleurs (même arrêt, consid. 3.7.3). De plus, le critère de l’existence d’une comorbidité psychiatrique ne revêt plus la primauté qui était la sienne selon l’ancienne jurisprudence (cf. ATF 139 V 547 consid. 9.1.1) ; désormais, la présence d’une telle comorbidité n’est pertinente qu’en tant qu’elle déploie des effets dans le cas particulier, notamment comme indicateur mesurant à quel point un assuré est privé de ses ressources/aptitudes personnelles pour exercer une activité adaptée et à quel taux (arrêt 9C_492/2014 précité, consid. 3.7.3 et 4.3.1.3). Si les qualificatifs employés sous l’ancienne jurisprudence précisaient la nécessité que cette comorbidité fût « importante par sa gravité, son acuité et sa durée », tel n’est plus le cas sous l’empire de la nouvelle, qui réunit les anciens critères de « comorbidité psychiatrique » ou « corporelle » en un seul indicateur, l’objectif étant d’effectuer une appréciation d’ensemble des interactions (« Wechselwirkungen ») et autres liens existant entre le trouble douloureux en tant que tel et l’ensemble des comorbidités (même arrêt, consid. 4.3.1.3). S’il est vrai que la portée des changements de jurisprudence ne connaît de restrictions qu’en relation avec des décisions déjà entrées en force (cf. ATF 121 V 157 consid. 4b), ce qui n’est pas le cas de la décision querellée, il importe tout de même de relever que l’expertise pluridisciplinaire de la CRR n’a pas été réalisée selon les nouveaux critères fixés par le Tribunal fédéral, de sorte qu’il paraît malaisé a priori, de tirer des arguments choisis de cette nouvelle jurisprudence en dehors de la méthode et du système que celle-ci met en place pour les évaluations médicales futures. Il n’empêche : la critique à l’encontre de l’ancienne jurisprudence que l’arrêt 9C_492/2014 comporte – lequel pointe du doigt des schématismes incompatibles avec la libre appréciation des preuves et l’application du droit d’office (cf. consid. 3.4.2.2) – est parfaitement d’actualité et s’inscrit au cœur des réserves émises par l’experte psychiatre à l’encontre d’une application des</w:t>
      </w:r>
    </w:p>
    <w:p>
      <w:r>
        <w:t>A/2079/2014 - 26/28 - anciens critères jurisprudentiels en matière de troubles somatoformes au trouble dissociatif en cause. De plus, compte tenu de l’interaction médicalement objectivée in casu entre le trouble de la personnalité – non incapacitant en soi – et les troubles dissociatifs, il se justifie de lever le doute exprimé par le Tribunal fédéral – en 2009 déjà – sur l’applicabilité de cette jurisprudence aux troubles dissociatifs (arrêt du Tribunal fédéral 9C_676/2008 du 12 janvier 2009 consid. 4.3.1 à 4.3.3) en renonçant au raisonnement par analogie opéré par le Tribunal fédéral dans l’arrêt 9C_903/2007 précité. Il s’ensuit que c’est à tort que le rapport SMR du 4 mars 2015 indique – sur la base de considérations purement juridiques – qu’il n’existe pas de possibilité d’envisager une activité uniquement dans un environnement protégé. Partant, ledit rapport ne permet pas de mettre en doute les conclusions de la Dresse M______ dans leur véritable teneur. b) Sur le plan somatique, les divers rapports dus à la plume du Dr H______ et datés des 12 septembre 2007, 21 février 2008, 26 janvier 2010, 2 décembre 2010, tous pris en compte par les experts, ont pour point commun de faire état d’une incapacité de la recourante de reprendre une activité professionnelle. Ce point de vue s’est maintenu par la suite, soit dans des courriers adressés au conseil de la recourante les 5 mai 2011 (pièce 2 recourante) et 24 juin 2014 (pièce 5 recourante). Cela étant, force est de constater que le courrier du 5 mai 2011 fait état d’un état « globalement assez stationnaire » depuis le 20 octobre 2010 et qu’il ne met en exergue aucun élément médical objectivement vérifiable qui aurait été ignoré par les experts. Il en va de même du courrier du 24 juin 2014 qui relate principalement les douleurs de la recourante « qui connaît toujours la même situation », les traitements antalgiques qu’elle a suivis (thérapie neurale, clonidine) ainsi que ses malaises et chutes déjà appréciés par les experts (cf. notamment pièce 85 intimé, p. 11 et 30). Par ailleurs, le Dr H______ précise que son confrère, le docteur O______, n’a retrouvé aucun déficit neurologique objectif sur le plan clinique et qu’il n’a pas visualisé de complications post-opératoires sur les examens d’imagerie (IRM cervical du 22 octobre 2013). Quant à la discopathie protrusive relevée par le Dr O______ au- dessus du niveau opéré et pour laquelle il ne retient pas d’indication chirurgicale, elle n’explique pas, selon ce praticien, la symptomatologie importante décrite par la recourante. Ainsi, les constatations du Dr O______ rejoignent celles de l’expert L______, étant rappelé que ce dernier n’a pas relevé d’anomalie objective pouvant expliquer les plaintes de l’intéressée. Force est donc de constater que les rapports médicaux figurant au dossier ne permettent pas de remettre en cause les conclusions claires et motivées du rapport d’expertise de la CRR, qui revêt pleine valeur probante. Pour le surplus, les documents produits ne font pas mention de faits nouveaux, survenus postérieurement à l’expertise, qui justifieraient d’autres investigations médicales, notamment sous forme d’une expertise pluridisciplinaire.</w:t>
      </w:r>
    </w:p>
    <w:p>
      <w:r>
        <w:t>A/2079/2014 - 27/28 - Par conséquent, la chambre de céans fera siennes les conclusions des experts de la CRR qui, au terme de leur entretien de synthèse, retiennent que la recourante présente, pour des motifs psychiatriques, une incapacité de travail complète depuis juillet 2011 sur le marché ordinaire du travail.</w:t>
      </w:r>
    </w:p>
    <w:p>
      <w:r>
        <w:rPr>
          <w:b/>
        </w:rPr>
        <w:t>E. 13</w:t>
      </w:r>
    </w:p>
    <w:p>
      <w:r>
        <w:t>Compte tenu de ce qui précède, et vu en particulier le caractère inchangé de l’incapacité de gain de la recourante en novembre 2011, l’intimé n’était pas fondé à limiter le droit de cette dernière à une rente d’invalidité au 31 janvier 2012 (art. 88a RAI a contrario). En conséquence, il est dit que l’intimé doit poursuivre au-delà du 31 janvier 2012 le versement de la rente entière d’invalidité octroyée dès le 1er avril 2010.</w:t>
      </w:r>
    </w:p>
    <w:p>
      <w:r>
        <w:rPr>
          <w:b/>
        </w:rPr>
        <w:t>E. 14</w:t>
      </w:r>
    </w:p>
    <w:p>
      <w:r>
        <w:t>Bien fondé, le recours est admis.</w:t>
      </w:r>
    </w:p>
    <w:p>
      <w:r>
        <w:rPr>
          <w:b/>
        </w:rPr>
        <w:t>E. 15</w:t>
      </w:r>
    </w:p>
    <w:p>
      <w:r>
        <w:t>La recourante, qui obtient gain de cause, a droit à une indemnité à titre de participation à ses frais et dépens fixée en l’espèce à CHF 3'000.- (art. 61 let. g LPGA ; art 6 du règlement sur les frais, émoluments et indemnités en procédure administrative du 30 juillet 1986 - RFPA - E 5 10.03).</w:t>
      </w:r>
    </w:p>
    <w:p>
      <w:r>
        <w:rPr>
          <w:b/>
        </w:rPr>
        <w:t>E. 16</w:t>
      </w:r>
    </w:p>
    <w:p>
      <w:r>
        <w:t>Au vu du sort du litige, un émolument de CHF 1’000.- est mis à la charge de l’intimé (art. 69al. 1 bis LAI).</w:t>
      </w:r>
    </w:p>
    <w:p>
      <w:r>
        <w:t>A/2079/2014 - 28/28 -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